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90A53">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14:paraId="3A6B5710">
      <w:pPr>
        <w:widowControl/>
        <w:spacing w:beforeAutospacing="1" w:afterAutospacing="1" w:line="360" w:lineRule="auto"/>
        <w:rPr>
          <w:rFonts w:hint="default" w:ascii="宋体" w:hAnsi="宋体" w:eastAsia="宋体" w:cs="宋体"/>
          <w:kern w:val="0"/>
          <w:sz w:val="36"/>
          <w:szCs w:val="36"/>
          <w:lang w:val="en-US" w:eastAsia="zh-CN"/>
        </w:rPr>
      </w:pPr>
      <w:r>
        <w:rPr>
          <w:rFonts w:hint="eastAsia" w:ascii="宋体" w:hAnsi="宋体" w:cs="宋体"/>
          <w:bCs/>
          <w:kern w:val="0"/>
          <w:sz w:val="36"/>
          <w:szCs w:val="36"/>
        </w:rPr>
        <w:t xml:space="preserve">                                         </w:t>
      </w:r>
      <w:r>
        <w:rPr>
          <w:rFonts w:hint="eastAsia" w:ascii="宋体" w:hAnsi="宋体" w:cs="宋体"/>
          <w:bCs/>
          <w:kern w:val="0"/>
          <w:sz w:val="36"/>
          <w:szCs w:val="36"/>
          <w:lang w:val="en-US" w:eastAsia="zh-CN"/>
        </w:rPr>
        <w:t xml:space="preserve">  </w:t>
      </w:r>
      <w:r>
        <w:rPr>
          <w:rFonts w:hint="eastAsia" w:ascii="宋体" w:hAnsi="宋体" w:cs="宋体"/>
          <w:bCs/>
          <w:kern w:val="0"/>
          <w:sz w:val="36"/>
          <w:szCs w:val="36"/>
        </w:rPr>
        <w:t>正（副）本</w:t>
      </w:r>
    </w:p>
    <w:p w14:paraId="46248E32">
      <w:pPr>
        <w:widowControl/>
        <w:spacing w:beforeAutospacing="1" w:afterAutospacing="1" w:line="360" w:lineRule="auto"/>
        <w:ind w:firstLine="540" w:firstLineChars="150"/>
        <w:rPr>
          <w:rFonts w:ascii="宋体" w:hAnsi="宋体" w:cs="宋体"/>
          <w:kern w:val="0"/>
          <w:sz w:val="36"/>
          <w:szCs w:val="36"/>
        </w:rPr>
      </w:pPr>
      <w:r>
        <w:rPr>
          <w:rFonts w:hint="eastAsia" w:ascii="宋体" w:hAnsi="宋体" w:cs="宋体"/>
          <w:bCs/>
          <w:kern w:val="0"/>
          <w:sz w:val="36"/>
          <w:szCs w:val="36"/>
        </w:rPr>
        <w:t xml:space="preserve">致：赣州市妇幼保健院 </w:t>
      </w:r>
    </w:p>
    <w:p w14:paraId="4B88334B">
      <w:pPr>
        <w:jc w:val="center"/>
        <w:rPr>
          <w:b/>
          <w:sz w:val="52"/>
          <w:szCs w:val="52"/>
        </w:rPr>
      </w:pPr>
      <w:bookmarkStart w:id="0" w:name="_Toc485736229"/>
      <w:r>
        <w:rPr>
          <w:rFonts w:hint="eastAsia"/>
          <w:b/>
          <w:sz w:val="52"/>
          <w:szCs w:val="52"/>
        </w:rPr>
        <w:t>项</w:t>
      </w:r>
    </w:p>
    <w:p w14:paraId="463E4833">
      <w:pPr>
        <w:jc w:val="center"/>
        <w:rPr>
          <w:b/>
          <w:sz w:val="52"/>
          <w:szCs w:val="52"/>
        </w:rPr>
      </w:pPr>
    </w:p>
    <w:p w14:paraId="15D4DC82">
      <w:pPr>
        <w:jc w:val="center"/>
        <w:rPr>
          <w:b/>
          <w:sz w:val="52"/>
          <w:szCs w:val="52"/>
        </w:rPr>
      </w:pPr>
      <w:r>
        <w:rPr>
          <w:rFonts w:hint="eastAsia"/>
          <w:b/>
          <w:sz w:val="52"/>
          <w:szCs w:val="52"/>
        </w:rPr>
        <w:t>目</w:t>
      </w:r>
    </w:p>
    <w:p w14:paraId="1287529D">
      <w:pPr>
        <w:jc w:val="center"/>
        <w:rPr>
          <w:b/>
          <w:sz w:val="52"/>
          <w:szCs w:val="52"/>
        </w:rPr>
      </w:pPr>
    </w:p>
    <w:p w14:paraId="18E3E7FC">
      <w:pPr>
        <w:jc w:val="center"/>
        <w:rPr>
          <w:b/>
          <w:sz w:val="52"/>
          <w:szCs w:val="52"/>
        </w:rPr>
      </w:pPr>
      <w:r>
        <w:rPr>
          <w:rFonts w:hint="eastAsia"/>
          <w:b/>
          <w:sz w:val="52"/>
          <w:szCs w:val="52"/>
        </w:rPr>
        <w:t>咨</w:t>
      </w:r>
    </w:p>
    <w:p w14:paraId="4BD2DF6A">
      <w:pPr>
        <w:jc w:val="center"/>
        <w:rPr>
          <w:b/>
          <w:sz w:val="52"/>
          <w:szCs w:val="52"/>
        </w:rPr>
      </w:pPr>
    </w:p>
    <w:p w14:paraId="748BD394">
      <w:pPr>
        <w:jc w:val="center"/>
        <w:rPr>
          <w:b/>
          <w:sz w:val="52"/>
          <w:szCs w:val="52"/>
        </w:rPr>
      </w:pPr>
      <w:r>
        <w:rPr>
          <w:rFonts w:hint="eastAsia"/>
          <w:b/>
          <w:sz w:val="52"/>
          <w:szCs w:val="52"/>
        </w:rPr>
        <w:t>询</w:t>
      </w:r>
    </w:p>
    <w:p w14:paraId="46353F0A">
      <w:pPr>
        <w:jc w:val="center"/>
        <w:rPr>
          <w:b/>
          <w:sz w:val="52"/>
          <w:szCs w:val="52"/>
        </w:rPr>
      </w:pPr>
    </w:p>
    <w:p w14:paraId="69406162">
      <w:pPr>
        <w:jc w:val="center"/>
        <w:rPr>
          <w:b/>
          <w:sz w:val="52"/>
          <w:szCs w:val="52"/>
        </w:rPr>
      </w:pPr>
      <w:r>
        <w:rPr>
          <w:rFonts w:hint="eastAsia"/>
          <w:b/>
          <w:sz w:val="52"/>
          <w:szCs w:val="52"/>
        </w:rPr>
        <w:t>文</w:t>
      </w:r>
    </w:p>
    <w:p w14:paraId="12A49F4E">
      <w:pPr>
        <w:jc w:val="center"/>
        <w:rPr>
          <w:b/>
          <w:sz w:val="52"/>
          <w:szCs w:val="52"/>
        </w:rPr>
      </w:pPr>
    </w:p>
    <w:p w14:paraId="34D02259">
      <w:pPr>
        <w:jc w:val="center"/>
        <w:rPr>
          <w:b/>
          <w:sz w:val="52"/>
          <w:szCs w:val="52"/>
        </w:rPr>
      </w:pPr>
      <w:r>
        <w:rPr>
          <w:rFonts w:hint="eastAsia"/>
          <w:b/>
          <w:sz w:val="52"/>
          <w:szCs w:val="52"/>
        </w:rPr>
        <w:t>件</w:t>
      </w:r>
      <w:bookmarkEnd w:id="0"/>
    </w:p>
    <w:p w14:paraId="449C6FD9">
      <w:pPr>
        <w:widowControl/>
        <w:spacing w:beforeAutospacing="1" w:afterAutospacing="1" w:line="360" w:lineRule="auto"/>
        <w:jc w:val="left"/>
        <w:rPr>
          <w:rFonts w:ascii="宋体" w:hAnsi="宋体" w:cs="宋体"/>
          <w:kern w:val="0"/>
          <w:sz w:val="24"/>
        </w:rPr>
      </w:pPr>
      <w:r>
        <w:rPr>
          <w:rFonts w:ascii="宋体" w:hAnsi="宋体" w:cs="宋体"/>
          <w:kern w:val="0"/>
          <w:sz w:val="24"/>
        </w:rPr>
        <w:t> </w:t>
      </w:r>
    </w:p>
    <w:p w14:paraId="6BDE01B7">
      <w:pPr>
        <w:widowControl/>
        <w:spacing w:beforeAutospacing="1" w:afterAutospacing="1" w:line="360" w:lineRule="auto"/>
        <w:ind w:firstLine="630" w:firstLineChars="196"/>
        <w:jc w:val="left"/>
        <w:rPr>
          <w:rFonts w:hint="eastAsia" w:ascii="宋体" w:hAnsi="宋体" w:eastAsia="宋体" w:cs="宋体"/>
          <w:b/>
          <w:kern w:val="0"/>
          <w:sz w:val="32"/>
          <w:szCs w:val="36"/>
          <w:lang w:val="en-US" w:eastAsia="zh-CN"/>
        </w:rPr>
      </w:pPr>
      <w:r>
        <w:rPr>
          <w:rFonts w:hint="eastAsia" w:ascii="宋体" w:hAnsi="宋体" w:cs="宋体"/>
          <w:b/>
          <w:kern w:val="0"/>
          <w:sz w:val="32"/>
          <w:szCs w:val="36"/>
        </w:rPr>
        <w:t>项目名称：</w:t>
      </w:r>
      <w:r>
        <w:rPr>
          <w:rFonts w:hint="eastAsia" w:ascii="宋体" w:hAnsi="宋体"/>
          <w:b/>
          <w:sz w:val="32"/>
          <w:szCs w:val="44"/>
        </w:rPr>
        <w:t>网络安全运维服务</w:t>
      </w:r>
      <w:r>
        <w:rPr>
          <w:rFonts w:hint="eastAsia" w:ascii="宋体" w:hAnsi="宋体"/>
          <w:b/>
          <w:sz w:val="32"/>
          <w:szCs w:val="44"/>
          <w:lang w:val="en-US" w:eastAsia="zh-CN"/>
        </w:rPr>
        <w:t>项目</w:t>
      </w:r>
    </w:p>
    <w:p w14:paraId="41EC127B">
      <w:pPr>
        <w:widowControl/>
        <w:spacing w:beforeAutospacing="1" w:afterAutospacing="1" w:line="360" w:lineRule="auto"/>
        <w:ind w:firstLine="630" w:firstLineChars="196"/>
        <w:jc w:val="left"/>
        <w:rPr>
          <w:rFonts w:ascii="宋体" w:hAnsi="宋体" w:cs="宋体"/>
          <w:b/>
          <w:kern w:val="0"/>
          <w:sz w:val="32"/>
          <w:szCs w:val="36"/>
        </w:rPr>
      </w:pPr>
      <w:r>
        <w:rPr>
          <w:rFonts w:hint="eastAsia" w:ascii="宋体" w:hAnsi="宋体" w:cs="宋体"/>
          <w:b/>
          <w:kern w:val="0"/>
          <w:sz w:val="32"/>
          <w:szCs w:val="36"/>
        </w:rPr>
        <w:t>响应供应商名称：</w:t>
      </w:r>
    </w:p>
    <w:p w14:paraId="6407DBA3">
      <w:pPr>
        <w:widowControl/>
        <w:spacing w:beforeAutospacing="1" w:afterAutospacing="1" w:line="360" w:lineRule="auto"/>
        <w:ind w:firstLine="630" w:firstLineChars="196"/>
        <w:jc w:val="left"/>
        <w:rPr>
          <w:rFonts w:ascii="宋体" w:hAnsi="宋体" w:cs="宋体"/>
          <w:b/>
          <w:kern w:val="0"/>
          <w:sz w:val="32"/>
          <w:szCs w:val="36"/>
        </w:rPr>
      </w:pPr>
      <w:r>
        <w:rPr>
          <w:rFonts w:hint="eastAsia" w:ascii="宋体" w:hAnsi="宋体" w:cs="宋体"/>
          <w:b/>
          <w:kern w:val="0"/>
          <w:sz w:val="32"/>
          <w:szCs w:val="36"/>
        </w:rPr>
        <w:t>日期：     年  月  日</w:t>
      </w:r>
    </w:p>
    <w:p w14:paraId="4933077F">
      <w:pPr>
        <w:pStyle w:val="3"/>
        <w:ind w:firstLine="0"/>
        <w:rPr>
          <w:rFonts w:hint="eastAsia" w:ascii="宋体" w:hAnsi="宋体" w:eastAsia="宋体"/>
          <w:kern w:val="0"/>
        </w:rPr>
      </w:pPr>
      <w:bookmarkStart w:id="1" w:name="_Toc485736230"/>
      <w:r>
        <w:rPr>
          <w:rFonts w:hint="eastAsia" w:ascii="宋体" w:hAnsi="宋体" w:eastAsia="宋体"/>
          <w:kern w:val="0"/>
        </w:rPr>
        <w:t>一、网络安全运维服务</w:t>
      </w:r>
      <w:r>
        <w:rPr>
          <w:rFonts w:hint="eastAsia" w:ascii="宋体" w:hAnsi="宋体" w:eastAsia="宋体"/>
          <w:kern w:val="0"/>
          <w:lang w:val="en-US" w:eastAsia="zh-CN"/>
        </w:rPr>
        <w:t>项目</w:t>
      </w:r>
      <w:r>
        <w:rPr>
          <w:rFonts w:hint="eastAsia" w:ascii="宋体" w:hAnsi="宋体" w:eastAsia="宋体"/>
          <w:kern w:val="0"/>
        </w:rPr>
        <w:t>咨询响应函</w:t>
      </w:r>
      <w:bookmarkEnd w:id="1"/>
    </w:p>
    <w:p w14:paraId="295D9D4D">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致：赣州市妇幼保健院</w:t>
      </w:r>
    </w:p>
    <w:p w14:paraId="05981C98">
      <w:pPr>
        <w:spacing w:line="360" w:lineRule="auto"/>
        <w:ind w:left="269" w:leftChars="128" w:firstLine="135" w:firstLineChars="50"/>
        <w:rPr>
          <w:rFonts w:ascii="宋体" w:hAnsi="宋体" w:cs="宋体"/>
          <w:kern w:val="0"/>
          <w:sz w:val="27"/>
          <w:szCs w:val="27"/>
        </w:rPr>
      </w:pPr>
      <w:r>
        <w:rPr>
          <w:rFonts w:hint="eastAsia" w:ascii="宋体" w:hAnsi="宋体" w:cs="宋体"/>
          <w:kern w:val="0"/>
          <w:sz w:val="27"/>
          <w:szCs w:val="27"/>
          <w:u w:val="single"/>
        </w:rPr>
        <w:t xml:space="preserve">                          </w:t>
      </w:r>
      <w:r>
        <w:rPr>
          <w:rFonts w:hint="eastAsia" w:ascii="宋体" w:hAnsi="宋体" w:cs="宋体"/>
          <w:kern w:val="0"/>
          <w:sz w:val="27"/>
          <w:szCs w:val="27"/>
        </w:rPr>
        <w:t>（响应供应商名称）系中华人民共和国合</w:t>
      </w:r>
    </w:p>
    <w:p w14:paraId="6A026EEA">
      <w:pPr>
        <w:spacing w:line="360" w:lineRule="auto"/>
        <w:ind w:left="269" w:leftChars="128" w:firstLine="135" w:firstLineChars="50"/>
        <w:rPr>
          <w:rFonts w:ascii="宋体" w:hAnsi="宋体" w:cs="宋体"/>
          <w:kern w:val="0"/>
          <w:sz w:val="27"/>
          <w:szCs w:val="27"/>
        </w:rPr>
      </w:pPr>
      <w:r>
        <w:rPr>
          <w:rFonts w:hint="eastAsia" w:ascii="宋体" w:hAnsi="宋体" w:cs="宋体"/>
          <w:kern w:val="0"/>
          <w:sz w:val="27"/>
          <w:szCs w:val="27"/>
        </w:rPr>
        <w:t>法企业，我方就参加本次投标有关事项郑重声明如下：</w:t>
      </w:r>
    </w:p>
    <w:p w14:paraId="6B509516">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一、我方完全理解并接受系统咨询公告所有要求。</w:t>
      </w:r>
    </w:p>
    <w:p w14:paraId="08603EA0">
      <w:pPr>
        <w:spacing w:line="360" w:lineRule="auto"/>
        <w:ind w:left="403" w:leftChars="192"/>
        <w:rPr>
          <w:rFonts w:ascii="宋体" w:hAnsi="宋体" w:cs="宋体"/>
          <w:kern w:val="0"/>
          <w:sz w:val="27"/>
          <w:szCs w:val="27"/>
        </w:rPr>
      </w:pPr>
      <w:r>
        <w:rPr>
          <w:rFonts w:hint="eastAsia" w:ascii="宋体" w:hAnsi="宋体" w:cs="宋体"/>
          <w:kern w:val="0"/>
          <w:sz w:val="27"/>
          <w:szCs w:val="27"/>
        </w:rPr>
        <w:t>二、我方提交的所有响应文件、资料都是准确和真实的，如有虚假或隐</w:t>
      </w:r>
    </w:p>
    <w:p w14:paraId="109B8456">
      <w:pPr>
        <w:spacing w:line="360" w:lineRule="auto"/>
        <w:ind w:left="403" w:leftChars="192"/>
        <w:rPr>
          <w:rFonts w:ascii="宋体" w:hAnsi="宋体" w:cs="宋体"/>
          <w:kern w:val="0"/>
          <w:sz w:val="27"/>
          <w:szCs w:val="27"/>
        </w:rPr>
      </w:pPr>
      <w:r>
        <w:rPr>
          <w:rFonts w:hint="eastAsia" w:ascii="宋体" w:hAnsi="宋体" w:cs="宋体"/>
          <w:kern w:val="0"/>
          <w:sz w:val="27"/>
          <w:szCs w:val="27"/>
        </w:rPr>
        <w:t>瞒，我方愿意承担一切法律责任。</w:t>
      </w:r>
    </w:p>
    <w:p w14:paraId="4D9C2CA8">
      <w:pPr>
        <w:spacing w:line="360" w:lineRule="auto"/>
        <w:ind w:left="403" w:leftChars="192"/>
        <w:rPr>
          <w:rFonts w:ascii="宋体" w:hAnsi="宋体" w:cs="宋体"/>
          <w:kern w:val="0"/>
          <w:sz w:val="27"/>
          <w:szCs w:val="27"/>
        </w:rPr>
      </w:pPr>
      <w:r>
        <w:rPr>
          <w:rFonts w:hint="eastAsia" w:ascii="宋体" w:hAnsi="宋体" w:cs="宋体"/>
          <w:kern w:val="0"/>
          <w:sz w:val="27"/>
          <w:szCs w:val="27"/>
        </w:rPr>
        <w:t>三、我方承诺，以后的项目采购不高于此次系统咨询结果，系统性能参数、</w:t>
      </w:r>
    </w:p>
    <w:p w14:paraId="04BBC174">
      <w:pPr>
        <w:spacing w:line="360" w:lineRule="auto"/>
        <w:ind w:left="403" w:leftChars="192"/>
        <w:rPr>
          <w:rFonts w:ascii="宋体" w:hAnsi="宋体" w:cs="宋体"/>
          <w:kern w:val="0"/>
          <w:sz w:val="27"/>
          <w:szCs w:val="27"/>
        </w:rPr>
      </w:pPr>
      <w:r>
        <w:rPr>
          <w:rFonts w:hint="eastAsia" w:ascii="宋体" w:hAnsi="宋体" w:cs="宋体"/>
          <w:kern w:val="0"/>
          <w:sz w:val="27"/>
          <w:szCs w:val="27"/>
        </w:rPr>
        <w:t>配置、维保不低于此次项目咨询结果。</w:t>
      </w:r>
    </w:p>
    <w:p w14:paraId="25826B37">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四、与此次项目咨询相关一切正式往来信函请寄：</w:t>
      </w:r>
    </w:p>
    <w:p w14:paraId="653FF523">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地址 ：                          传真：</w:t>
      </w:r>
    </w:p>
    <w:p w14:paraId="1D27114A">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电话 ：                          电子邮件：</w:t>
      </w:r>
    </w:p>
    <w:p w14:paraId="3779AF6D">
      <w:pPr>
        <w:spacing w:line="360" w:lineRule="auto"/>
        <w:ind w:firstLine="2295" w:firstLineChars="850"/>
        <w:rPr>
          <w:rFonts w:ascii="宋体" w:hAnsi="宋体" w:cs="宋体"/>
          <w:kern w:val="0"/>
          <w:sz w:val="27"/>
          <w:szCs w:val="27"/>
        </w:rPr>
      </w:pPr>
    </w:p>
    <w:p w14:paraId="7083A05A">
      <w:pPr>
        <w:spacing w:line="360" w:lineRule="auto"/>
        <w:ind w:firstLine="3375" w:firstLineChars="1250"/>
        <w:rPr>
          <w:rFonts w:ascii="宋体" w:hAnsi="宋体" w:cs="宋体"/>
          <w:kern w:val="0"/>
          <w:sz w:val="27"/>
          <w:szCs w:val="27"/>
        </w:rPr>
      </w:pPr>
    </w:p>
    <w:p w14:paraId="10D2D1B7">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7D0AFE0F">
      <w:pPr>
        <w:spacing w:line="360" w:lineRule="auto"/>
        <w:ind w:firstLine="4725" w:firstLineChars="1750"/>
        <w:rPr>
          <w:rFonts w:ascii="宋体" w:hAnsi="宋体" w:cs="宋体"/>
          <w:kern w:val="0"/>
          <w:sz w:val="27"/>
          <w:szCs w:val="27"/>
        </w:rPr>
      </w:pPr>
    </w:p>
    <w:p w14:paraId="10BCA36C">
      <w:pPr>
        <w:spacing w:line="360" w:lineRule="auto"/>
        <w:ind w:firstLine="4725" w:firstLineChars="1750"/>
        <w:rPr>
          <w:rFonts w:ascii="宋体" w:hAnsi="宋体" w:cs="宋体"/>
          <w:kern w:val="0"/>
          <w:sz w:val="27"/>
          <w:szCs w:val="27"/>
        </w:rPr>
      </w:pPr>
      <w:r>
        <w:rPr>
          <w:rFonts w:hint="eastAsia" w:ascii="宋体" w:hAnsi="宋体" w:cs="宋体"/>
          <w:kern w:val="0"/>
          <w:sz w:val="27"/>
          <w:szCs w:val="27"/>
        </w:rPr>
        <w:t xml:space="preserve">响应供应商名称（公章）  </w:t>
      </w:r>
    </w:p>
    <w:p w14:paraId="1C38D07A">
      <w:pPr>
        <w:spacing w:line="360" w:lineRule="auto"/>
        <w:ind w:firstLine="4725" w:firstLineChars="1750"/>
        <w:rPr>
          <w:rFonts w:ascii="宋体" w:hAnsi="宋体" w:cs="宋体"/>
          <w:kern w:val="0"/>
          <w:sz w:val="27"/>
          <w:szCs w:val="27"/>
        </w:rPr>
      </w:pPr>
      <w:r>
        <w:rPr>
          <w:rFonts w:hint="eastAsia" w:ascii="宋体" w:hAnsi="宋体" w:cs="宋体"/>
          <w:kern w:val="0"/>
          <w:sz w:val="27"/>
          <w:szCs w:val="27"/>
        </w:rPr>
        <w:t xml:space="preserve">       </w:t>
      </w:r>
    </w:p>
    <w:p w14:paraId="06D04353">
      <w:pPr>
        <w:spacing w:line="360" w:lineRule="auto"/>
        <w:ind w:firstLine="4860" w:firstLineChars="1800"/>
        <w:rPr>
          <w:rFonts w:ascii="宋体" w:hAnsi="宋体" w:cs="宋体"/>
          <w:kern w:val="0"/>
          <w:sz w:val="27"/>
          <w:szCs w:val="27"/>
        </w:rPr>
      </w:pPr>
      <w:r>
        <w:rPr>
          <w:rFonts w:hint="eastAsia" w:ascii="宋体" w:hAnsi="宋体" w:cs="宋体"/>
          <w:kern w:val="0"/>
          <w:sz w:val="27"/>
          <w:szCs w:val="27"/>
        </w:rPr>
        <w:t xml:space="preserve">   年    月    日</w:t>
      </w:r>
    </w:p>
    <w:p w14:paraId="689C2B4D">
      <w:pPr>
        <w:spacing w:line="360" w:lineRule="auto"/>
        <w:ind w:firstLine="135" w:firstLineChars="50"/>
        <w:rPr>
          <w:rFonts w:ascii="宋体" w:hAnsi="宋体" w:cs="宋体"/>
          <w:kern w:val="0"/>
          <w:sz w:val="27"/>
          <w:szCs w:val="27"/>
        </w:rPr>
      </w:pPr>
    </w:p>
    <w:p w14:paraId="521B362D">
      <w:pPr>
        <w:spacing w:line="360" w:lineRule="auto"/>
        <w:ind w:firstLine="135" w:firstLineChars="50"/>
        <w:rPr>
          <w:rFonts w:ascii="宋体" w:hAnsi="宋体" w:cs="宋体"/>
          <w:kern w:val="0"/>
          <w:sz w:val="27"/>
          <w:szCs w:val="27"/>
        </w:rPr>
      </w:pPr>
    </w:p>
    <w:p w14:paraId="6732D497">
      <w:pPr>
        <w:spacing w:line="360" w:lineRule="auto"/>
        <w:ind w:firstLine="135" w:firstLineChars="50"/>
        <w:rPr>
          <w:rFonts w:ascii="宋体" w:hAnsi="宋体" w:cs="宋体"/>
          <w:kern w:val="0"/>
          <w:sz w:val="27"/>
          <w:szCs w:val="27"/>
        </w:rPr>
      </w:pPr>
    </w:p>
    <w:p w14:paraId="345CAC16">
      <w:pPr>
        <w:widowControl/>
        <w:spacing w:beforeAutospacing="1" w:afterAutospacing="1" w:line="360" w:lineRule="auto"/>
        <w:jc w:val="left"/>
        <w:rPr>
          <w:rFonts w:ascii="宋体" w:hAns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14:paraId="412B6765">
      <w:pPr>
        <w:pStyle w:val="3"/>
        <w:ind w:firstLine="0"/>
        <w:rPr>
          <w:rFonts w:ascii="宋体" w:hAnsi="宋体" w:eastAsia="宋体"/>
          <w:kern w:val="0"/>
        </w:rPr>
      </w:pPr>
      <w:bookmarkStart w:id="2" w:name="_Toc480191544"/>
      <w:bookmarkStart w:id="3" w:name="_Toc485736233"/>
      <w:bookmarkStart w:id="4" w:name="_Toc265316642"/>
      <w:r>
        <w:rPr>
          <w:rFonts w:hint="eastAsia" w:ascii="宋体" w:hAnsi="宋体" w:eastAsia="宋体"/>
          <w:kern w:val="0"/>
        </w:rPr>
        <w:t>二、服务项目、服务描述、价格</w:t>
      </w:r>
    </w:p>
    <w:p w14:paraId="48024EE6">
      <w:pPr>
        <w:ind w:firstLine="439" w:firstLineChars="157"/>
        <w:rPr>
          <w:rFonts w:ascii="宋体" w:hAnsi="宋体"/>
          <w:bCs/>
          <w:sz w:val="28"/>
          <w:szCs w:val="28"/>
        </w:rPr>
      </w:pPr>
      <w:r>
        <w:rPr>
          <w:rFonts w:hint="eastAsia" w:ascii="宋体" w:hAnsi="宋体"/>
          <w:sz w:val="28"/>
          <w:szCs w:val="28"/>
        </w:rPr>
        <w:t>1、</w:t>
      </w:r>
      <w:r>
        <w:rPr>
          <w:rFonts w:hint="eastAsia" w:ascii="宋体" w:hAnsi="宋体"/>
          <w:bCs/>
          <w:sz w:val="28"/>
          <w:szCs w:val="28"/>
        </w:rPr>
        <w:t>服务期间，响应供应商需按照医院要求完成各项安全检查工作，协助医院建立完善各项信息安全管理制度。</w:t>
      </w:r>
    </w:p>
    <w:p w14:paraId="287B182B">
      <w:pPr>
        <w:ind w:firstLine="439" w:firstLineChars="157"/>
        <w:rPr>
          <w:rFonts w:ascii="宋体" w:hAnsi="宋体"/>
          <w:b/>
          <w:sz w:val="28"/>
          <w:szCs w:val="28"/>
        </w:rPr>
      </w:pPr>
      <w:r>
        <w:rPr>
          <w:rFonts w:ascii="宋体" w:hAnsi="宋体"/>
          <w:bCs/>
          <w:sz w:val="28"/>
          <w:szCs w:val="28"/>
        </w:rPr>
        <w:t>2</w:t>
      </w:r>
      <w:r>
        <w:rPr>
          <w:rFonts w:hint="eastAsia" w:ascii="宋体" w:hAnsi="宋体"/>
          <w:bCs/>
          <w:sz w:val="28"/>
          <w:szCs w:val="28"/>
        </w:rPr>
        <w:t>、</w:t>
      </w:r>
      <w:r>
        <w:rPr>
          <w:rFonts w:hint="eastAsia" w:asciiTheme="minorEastAsia" w:hAnsiTheme="minorEastAsia"/>
          <w:sz w:val="28"/>
          <w:szCs w:val="28"/>
        </w:rPr>
        <w:t>为加强本院业务系统云上及云下安全统筹运营能力，拉通云上安全防护能力与本地安全防护能力的统一管理，统一协调，加强云上应用及本地应用的网络访问控制精细度，缩小风险暴露面，降低安全风险，需监测所有云上与本地的网络威胁攻击事件，进行分析与溯源确保安全事件的及时发现与处置，保障云上数据中心与本地数据中心的安全统筹，定期输出完整安全运营报告。</w:t>
      </w:r>
    </w:p>
    <w:p w14:paraId="5417F093">
      <w:pPr>
        <w:ind w:firstLine="439" w:firstLineChars="157"/>
        <w:rPr>
          <w:rFonts w:ascii="宋体" w:hAnsi="宋体"/>
          <w:bCs/>
          <w:sz w:val="28"/>
          <w:szCs w:val="28"/>
        </w:rPr>
      </w:pPr>
      <w:r>
        <w:rPr>
          <w:rFonts w:ascii="宋体" w:hAnsi="宋体"/>
          <w:bCs/>
          <w:sz w:val="28"/>
          <w:szCs w:val="28"/>
        </w:rPr>
        <w:t>3</w:t>
      </w:r>
      <w:r>
        <w:rPr>
          <w:rFonts w:hint="eastAsia" w:ascii="宋体" w:hAnsi="宋体"/>
          <w:bCs/>
          <w:sz w:val="28"/>
          <w:szCs w:val="28"/>
        </w:rPr>
        <w:t>、服务内容：</w:t>
      </w:r>
    </w:p>
    <w:bookmarkEnd w:id="2"/>
    <w:bookmarkEnd w:id="3"/>
    <w:tbl>
      <w:tblPr>
        <w:tblStyle w:val="25"/>
        <w:tblW w:w="5082"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656"/>
        <w:gridCol w:w="785"/>
        <w:gridCol w:w="891"/>
        <w:gridCol w:w="4281"/>
        <w:gridCol w:w="695"/>
        <w:gridCol w:w="456"/>
        <w:gridCol w:w="1531"/>
      </w:tblGrid>
      <w:tr w14:paraId="5531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9" w:type="pct"/>
            <w:shd w:val="clear" w:color="000000" w:fill="E7E6E6"/>
            <w:vAlign w:val="center"/>
          </w:tcPr>
          <w:p w14:paraId="0414EDB1">
            <w:pPr>
              <w:widowControl/>
              <w:jc w:val="center"/>
              <w:rPr>
                <w:rFonts w:ascii="宋体" w:hAnsi="宋体" w:cs="宋体"/>
                <w:color w:val="000000"/>
                <w:kern w:val="0"/>
                <w:szCs w:val="21"/>
              </w:rPr>
            </w:pPr>
            <w:bookmarkStart w:id="5" w:name="_Toc519068587"/>
            <w:bookmarkEnd w:id="5"/>
            <w:bookmarkStart w:id="6" w:name="_Toc479257748"/>
            <w:bookmarkStart w:id="7" w:name="_Toc485736243"/>
            <w:bookmarkStart w:id="8" w:name="_Toc516969105"/>
            <w:bookmarkStart w:id="9" w:name="_Toc485736236"/>
            <w:r>
              <w:rPr>
                <w:rFonts w:hint="eastAsia" w:ascii="宋体" w:hAnsi="宋体" w:cs="宋体"/>
                <w:color w:val="000000"/>
                <w:kern w:val="0"/>
                <w:szCs w:val="21"/>
              </w:rPr>
              <w:t>序号</w:t>
            </w:r>
          </w:p>
        </w:tc>
        <w:tc>
          <w:tcPr>
            <w:tcW w:w="335" w:type="pct"/>
            <w:shd w:val="clear" w:color="000000" w:fill="E7E6E6"/>
            <w:vAlign w:val="center"/>
          </w:tcPr>
          <w:p w14:paraId="46322DAC">
            <w:pPr>
              <w:widowControl/>
              <w:jc w:val="center"/>
              <w:rPr>
                <w:rFonts w:ascii="宋体" w:hAnsi="宋体" w:cs="宋体"/>
                <w:color w:val="000000"/>
                <w:kern w:val="0"/>
                <w:szCs w:val="21"/>
              </w:rPr>
            </w:pPr>
            <w:r>
              <w:rPr>
                <w:rFonts w:hint="eastAsia" w:ascii="宋体" w:hAnsi="宋体" w:cs="宋体"/>
                <w:color w:val="000000"/>
                <w:kern w:val="0"/>
                <w:szCs w:val="21"/>
              </w:rPr>
              <w:t>服务类别</w:t>
            </w:r>
          </w:p>
        </w:tc>
        <w:tc>
          <w:tcPr>
            <w:tcW w:w="401" w:type="pct"/>
            <w:shd w:val="clear" w:color="000000" w:fill="E7E6E6"/>
            <w:vAlign w:val="center"/>
          </w:tcPr>
          <w:p w14:paraId="7B89F703">
            <w:pPr>
              <w:widowControl/>
              <w:jc w:val="center"/>
              <w:rPr>
                <w:rFonts w:ascii="宋体" w:hAnsi="宋体" w:cs="宋体"/>
                <w:color w:val="000000"/>
                <w:kern w:val="0"/>
                <w:szCs w:val="21"/>
              </w:rPr>
            </w:pPr>
            <w:r>
              <w:rPr>
                <w:rFonts w:hint="eastAsia" w:ascii="宋体" w:hAnsi="宋体" w:cs="宋体"/>
                <w:color w:val="000000"/>
                <w:kern w:val="0"/>
                <w:szCs w:val="21"/>
              </w:rPr>
              <w:t>服务项</w:t>
            </w:r>
          </w:p>
        </w:tc>
        <w:tc>
          <w:tcPr>
            <w:tcW w:w="455" w:type="pct"/>
            <w:shd w:val="clear" w:color="000000" w:fill="E7E6E6"/>
            <w:vAlign w:val="center"/>
          </w:tcPr>
          <w:p w14:paraId="3E869445">
            <w:pPr>
              <w:widowControl/>
              <w:jc w:val="center"/>
              <w:rPr>
                <w:rFonts w:ascii="宋体" w:hAnsi="宋体" w:cs="宋体"/>
                <w:color w:val="000000"/>
                <w:kern w:val="0"/>
                <w:szCs w:val="21"/>
              </w:rPr>
            </w:pPr>
            <w:r>
              <w:rPr>
                <w:rFonts w:hint="eastAsia" w:ascii="宋体" w:hAnsi="宋体" w:cs="宋体"/>
                <w:color w:val="000000"/>
                <w:kern w:val="0"/>
                <w:szCs w:val="21"/>
              </w:rPr>
              <w:t>服务</w:t>
            </w:r>
          </w:p>
          <w:p w14:paraId="0F68CA42">
            <w:pPr>
              <w:widowControl/>
              <w:jc w:val="center"/>
              <w:rPr>
                <w:rFonts w:ascii="宋体" w:hAnsi="宋体" w:cs="宋体"/>
                <w:color w:val="000000"/>
                <w:kern w:val="0"/>
                <w:szCs w:val="21"/>
              </w:rPr>
            </w:pPr>
            <w:r>
              <w:rPr>
                <w:rFonts w:hint="eastAsia" w:ascii="宋体" w:hAnsi="宋体" w:cs="宋体"/>
                <w:color w:val="000000"/>
                <w:kern w:val="0"/>
                <w:szCs w:val="21"/>
              </w:rPr>
              <w:t>细项</w:t>
            </w:r>
          </w:p>
        </w:tc>
        <w:tc>
          <w:tcPr>
            <w:tcW w:w="2187" w:type="pct"/>
            <w:shd w:val="clear" w:color="000000" w:fill="E7E6E6"/>
            <w:vAlign w:val="center"/>
          </w:tcPr>
          <w:p w14:paraId="7F501393">
            <w:pPr>
              <w:widowControl/>
              <w:jc w:val="center"/>
              <w:rPr>
                <w:rFonts w:ascii="宋体" w:hAnsi="宋体" w:cs="宋体"/>
                <w:color w:val="000000"/>
                <w:kern w:val="0"/>
                <w:szCs w:val="21"/>
              </w:rPr>
            </w:pPr>
            <w:r>
              <w:rPr>
                <w:rFonts w:hint="eastAsia" w:ascii="宋体" w:hAnsi="宋体" w:cs="宋体"/>
                <w:color w:val="000000"/>
                <w:kern w:val="0"/>
                <w:szCs w:val="21"/>
              </w:rPr>
              <w:t>服务描述</w:t>
            </w:r>
          </w:p>
        </w:tc>
        <w:tc>
          <w:tcPr>
            <w:tcW w:w="355" w:type="pct"/>
            <w:shd w:val="clear" w:color="000000" w:fill="E7E6E6"/>
            <w:vAlign w:val="center"/>
          </w:tcPr>
          <w:p w14:paraId="4E87C401">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233" w:type="pct"/>
            <w:shd w:val="clear" w:color="000000" w:fill="E7E6E6"/>
            <w:vAlign w:val="center"/>
          </w:tcPr>
          <w:p w14:paraId="15C0157F">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782" w:type="pct"/>
            <w:shd w:val="clear" w:color="000000" w:fill="E7E6E6"/>
            <w:vAlign w:val="center"/>
          </w:tcPr>
          <w:p w14:paraId="7725AE0C">
            <w:pPr>
              <w:widowControl/>
              <w:jc w:val="center"/>
              <w:rPr>
                <w:rFonts w:ascii="宋体" w:hAnsi="宋体" w:cs="宋体"/>
                <w:color w:val="000000"/>
                <w:kern w:val="0"/>
                <w:szCs w:val="21"/>
              </w:rPr>
            </w:pPr>
            <w:r>
              <w:rPr>
                <w:rFonts w:hint="eastAsia" w:ascii="宋体" w:hAnsi="宋体" w:cs="宋体"/>
                <w:color w:val="000000"/>
                <w:kern w:val="0"/>
                <w:szCs w:val="21"/>
              </w:rPr>
              <w:t>服务输出</w:t>
            </w:r>
          </w:p>
        </w:tc>
      </w:tr>
      <w:tr w14:paraId="1699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49" w:type="pct"/>
            <w:shd w:val="clear" w:color="auto" w:fill="auto"/>
            <w:vAlign w:val="center"/>
          </w:tcPr>
          <w:p w14:paraId="0CDA230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35" w:type="pct"/>
            <w:vMerge w:val="restart"/>
            <w:shd w:val="clear" w:color="auto" w:fill="auto"/>
            <w:vAlign w:val="center"/>
          </w:tcPr>
          <w:p w14:paraId="263CB173">
            <w:pPr>
              <w:widowControl/>
              <w:jc w:val="center"/>
              <w:rPr>
                <w:rFonts w:ascii="宋体" w:hAnsi="宋体" w:cs="宋体"/>
                <w:color w:val="000000"/>
                <w:kern w:val="0"/>
                <w:szCs w:val="21"/>
              </w:rPr>
            </w:pPr>
            <w:r>
              <w:rPr>
                <w:rFonts w:hint="eastAsia" w:ascii="宋体" w:hAnsi="宋体" w:cs="宋体"/>
                <w:color w:val="000000"/>
                <w:kern w:val="0"/>
                <w:szCs w:val="21"/>
              </w:rPr>
              <w:t>网络安全驻场服务</w:t>
            </w:r>
          </w:p>
        </w:tc>
        <w:tc>
          <w:tcPr>
            <w:tcW w:w="401" w:type="pct"/>
            <w:shd w:val="clear" w:color="auto" w:fill="auto"/>
            <w:vAlign w:val="center"/>
          </w:tcPr>
          <w:p w14:paraId="4AF92AC6">
            <w:pPr>
              <w:widowControl/>
              <w:jc w:val="center"/>
              <w:rPr>
                <w:rFonts w:ascii="宋体" w:hAnsi="宋体" w:cs="宋体"/>
                <w:color w:val="000000"/>
                <w:kern w:val="0"/>
                <w:szCs w:val="21"/>
              </w:rPr>
            </w:pPr>
            <w:r>
              <w:rPr>
                <w:rFonts w:hint="eastAsia" w:ascii="宋体" w:hAnsi="宋体" w:cs="宋体"/>
                <w:color w:val="000000"/>
                <w:kern w:val="0"/>
                <w:szCs w:val="21"/>
              </w:rPr>
              <w:t>人员驻场</w:t>
            </w:r>
          </w:p>
        </w:tc>
        <w:tc>
          <w:tcPr>
            <w:tcW w:w="455" w:type="pct"/>
            <w:shd w:val="clear" w:color="auto" w:fill="auto"/>
            <w:vAlign w:val="center"/>
          </w:tcPr>
          <w:p w14:paraId="6C2DF50F">
            <w:pPr>
              <w:widowControl/>
              <w:jc w:val="center"/>
              <w:rPr>
                <w:rFonts w:ascii="宋体" w:hAnsi="宋体" w:cs="宋体"/>
                <w:color w:val="000000"/>
                <w:kern w:val="0"/>
                <w:szCs w:val="21"/>
              </w:rPr>
            </w:pPr>
            <w:r>
              <w:rPr>
                <w:rFonts w:hint="eastAsia" w:ascii="宋体" w:hAnsi="宋体" w:cs="宋体"/>
                <w:color w:val="000000"/>
                <w:kern w:val="0"/>
                <w:szCs w:val="21"/>
              </w:rPr>
              <w:t>网络安全运营人员</w:t>
            </w:r>
          </w:p>
        </w:tc>
        <w:tc>
          <w:tcPr>
            <w:tcW w:w="2187" w:type="pct"/>
            <w:shd w:val="clear" w:color="auto" w:fill="auto"/>
            <w:vAlign w:val="center"/>
          </w:tcPr>
          <w:p w14:paraId="72D8C4C0">
            <w:pPr>
              <w:widowControl/>
              <w:rPr>
                <w:rFonts w:ascii="宋体" w:hAnsi="宋体" w:cs="宋体"/>
                <w:color w:val="000000"/>
                <w:kern w:val="0"/>
                <w:szCs w:val="21"/>
              </w:rPr>
            </w:pPr>
            <w:r>
              <w:rPr>
                <w:rFonts w:hint="eastAsia" w:ascii="宋体" w:hAnsi="宋体" w:cs="宋体"/>
                <w:color w:val="auto"/>
                <w:kern w:val="0"/>
                <w:szCs w:val="21"/>
              </w:rPr>
              <w:t>提供</w:t>
            </w:r>
            <w:r>
              <w:rPr>
                <w:rFonts w:hint="eastAsia" w:ascii="宋体" w:hAnsi="宋体" w:cs="宋体"/>
                <w:color w:val="auto"/>
                <w:kern w:val="0"/>
                <w:szCs w:val="21"/>
                <w:lang w:val="en-US" w:eastAsia="zh-CN"/>
              </w:rPr>
              <w:t>不少于</w:t>
            </w:r>
            <w:r>
              <w:rPr>
                <w:rFonts w:hint="eastAsia" w:ascii="宋体" w:hAnsi="宋体" w:cs="宋体"/>
                <w:color w:val="auto"/>
                <w:kern w:val="0"/>
                <w:szCs w:val="21"/>
              </w:rPr>
              <w:t>1名具备CISP证书的网络安全运营专家驻场1年</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需 7×24 小时在岗响应，日常运维周报于每周五 17:00 前提交，月报于每月最后 1 个工作日17:00 前提交；安全加固需在风险发现后 24 小时内出具方案，72 小时内完成实施（重大风险立即处置）。</w:t>
            </w:r>
            <w:r>
              <w:rPr>
                <w:rFonts w:hint="eastAsia" w:ascii="宋体" w:hAnsi="宋体" w:cs="宋体"/>
                <w:color w:val="auto"/>
                <w:kern w:val="0"/>
                <w:szCs w:val="21"/>
              </w:rPr>
              <w:t>负责提供技术支撑和响应，满足网络安全防护建设及优化过程中的各类需求。驻场专家应具备安全服务需求中常态化网络安全服务以及实战化安全运营服务过程中所需的全部网络安全技能，包括但不限于网络安全监测、风险评估、事件响应、事件处置、渗透测试等方面，确保能够提供高质量、专业化的网络安全服务。</w:t>
            </w:r>
          </w:p>
        </w:tc>
        <w:tc>
          <w:tcPr>
            <w:tcW w:w="355" w:type="pct"/>
            <w:vMerge w:val="restart"/>
            <w:shd w:val="clear" w:color="auto" w:fill="auto"/>
            <w:vAlign w:val="center"/>
          </w:tcPr>
          <w:p w14:paraId="32CD2F38">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33" w:type="pct"/>
            <w:vMerge w:val="restart"/>
            <w:shd w:val="clear" w:color="auto" w:fill="auto"/>
            <w:vAlign w:val="center"/>
          </w:tcPr>
          <w:p w14:paraId="79C97F49">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782" w:type="pct"/>
            <w:vMerge w:val="restart"/>
            <w:shd w:val="clear" w:color="auto" w:fill="auto"/>
            <w:vAlign w:val="center"/>
          </w:tcPr>
          <w:p w14:paraId="6B1A9FFD">
            <w:pPr>
              <w:widowControl/>
              <w:jc w:val="center"/>
              <w:rPr>
                <w:rFonts w:ascii="宋体" w:hAnsi="宋体" w:cs="宋体"/>
                <w:color w:val="000000"/>
                <w:kern w:val="0"/>
                <w:szCs w:val="21"/>
              </w:rPr>
            </w:pPr>
            <w:r>
              <w:rPr>
                <w:rFonts w:hint="eastAsia" w:ascii="宋体" w:hAnsi="宋体" w:cs="宋体"/>
                <w:color w:val="000000"/>
                <w:kern w:val="0"/>
                <w:szCs w:val="21"/>
              </w:rPr>
              <w:t>每月月底驻场专家根据实际工作内容提供1份当月《安全巡检报告》；《日常运维周报》、《日常运维月报》；《安全加固报告》等</w:t>
            </w:r>
          </w:p>
        </w:tc>
      </w:tr>
      <w:tr w14:paraId="4D28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9" w:type="pct"/>
            <w:shd w:val="clear" w:color="auto" w:fill="auto"/>
            <w:vAlign w:val="center"/>
          </w:tcPr>
          <w:p w14:paraId="544E0DB2">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35" w:type="pct"/>
            <w:vMerge w:val="continue"/>
            <w:vAlign w:val="center"/>
          </w:tcPr>
          <w:p w14:paraId="06EF54B4">
            <w:pPr>
              <w:widowControl/>
              <w:jc w:val="left"/>
              <w:rPr>
                <w:rFonts w:ascii="宋体" w:hAnsi="宋体" w:cs="宋体"/>
                <w:color w:val="000000"/>
                <w:kern w:val="0"/>
                <w:szCs w:val="21"/>
              </w:rPr>
            </w:pPr>
          </w:p>
        </w:tc>
        <w:tc>
          <w:tcPr>
            <w:tcW w:w="401" w:type="pct"/>
            <w:shd w:val="clear" w:color="auto" w:fill="auto"/>
            <w:vAlign w:val="center"/>
          </w:tcPr>
          <w:p w14:paraId="28894A92">
            <w:pPr>
              <w:widowControl/>
              <w:jc w:val="center"/>
              <w:rPr>
                <w:rFonts w:ascii="宋体" w:hAnsi="宋体" w:cs="宋体"/>
                <w:color w:val="000000"/>
                <w:kern w:val="0"/>
                <w:szCs w:val="21"/>
              </w:rPr>
            </w:pPr>
            <w:r>
              <w:rPr>
                <w:rFonts w:hint="eastAsia" w:ascii="宋体" w:hAnsi="宋体" w:cs="宋体"/>
                <w:color w:val="000000"/>
                <w:kern w:val="0"/>
                <w:szCs w:val="21"/>
              </w:rPr>
              <w:t>日常运维</w:t>
            </w:r>
          </w:p>
        </w:tc>
        <w:tc>
          <w:tcPr>
            <w:tcW w:w="455" w:type="pct"/>
            <w:shd w:val="clear" w:color="auto" w:fill="auto"/>
            <w:vAlign w:val="center"/>
          </w:tcPr>
          <w:p w14:paraId="55380C80">
            <w:pPr>
              <w:widowControl/>
              <w:jc w:val="center"/>
              <w:rPr>
                <w:rFonts w:ascii="宋体" w:hAnsi="宋体" w:cs="宋体"/>
                <w:color w:val="000000"/>
                <w:kern w:val="0"/>
                <w:szCs w:val="21"/>
              </w:rPr>
            </w:pPr>
            <w:r>
              <w:rPr>
                <w:rFonts w:hint="eastAsia" w:ascii="宋体" w:hAnsi="宋体" w:cs="宋体"/>
                <w:color w:val="000000"/>
                <w:kern w:val="0"/>
                <w:szCs w:val="21"/>
              </w:rPr>
              <w:t>安全运维</w:t>
            </w:r>
          </w:p>
        </w:tc>
        <w:tc>
          <w:tcPr>
            <w:tcW w:w="2187" w:type="pct"/>
            <w:shd w:val="clear" w:color="auto" w:fill="auto"/>
            <w:vAlign w:val="center"/>
          </w:tcPr>
          <w:p w14:paraId="65D399E2">
            <w:pPr>
              <w:widowControl/>
              <w:rPr>
                <w:rFonts w:ascii="宋体" w:hAnsi="宋体" w:cs="宋体"/>
                <w:color w:val="000000"/>
                <w:kern w:val="0"/>
                <w:szCs w:val="21"/>
              </w:rPr>
            </w:pPr>
            <w:r>
              <w:rPr>
                <w:rFonts w:hint="eastAsia" w:ascii="宋体" w:hAnsi="宋体" w:cs="宋体"/>
                <w:color w:val="000000"/>
                <w:kern w:val="0"/>
                <w:szCs w:val="21"/>
              </w:rPr>
              <w:t>提供日常安全设备巡检、风险协助整改、日常安全审计、基线配置核查、安全加固、迎检支撑、安全检查等服务。</w:t>
            </w:r>
          </w:p>
        </w:tc>
        <w:tc>
          <w:tcPr>
            <w:tcW w:w="355" w:type="pct"/>
            <w:vMerge w:val="continue"/>
            <w:vAlign w:val="center"/>
          </w:tcPr>
          <w:p w14:paraId="750FCB3E">
            <w:pPr>
              <w:widowControl/>
              <w:jc w:val="left"/>
              <w:rPr>
                <w:rFonts w:ascii="宋体" w:hAnsi="宋体" w:cs="宋体"/>
                <w:color w:val="000000"/>
                <w:kern w:val="0"/>
                <w:szCs w:val="21"/>
              </w:rPr>
            </w:pPr>
          </w:p>
        </w:tc>
        <w:tc>
          <w:tcPr>
            <w:tcW w:w="233" w:type="pct"/>
            <w:vMerge w:val="continue"/>
            <w:vAlign w:val="center"/>
          </w:tcPr>
          <w:p w14:paraId="1B145204">
            <w:pPr>
              <w:widowControl/>
              <w:jc w:val="left"/>
              <w:rPr>
                <w:rFonts w:ascii="宋体" w:hAnsi="宋体" w:cs="宋体"/>
                <w:color w:val="000000"/>
                <w:kern w:val="0"/>
                <w:szCs w:val="21"/>
              </w:rPr>
            </w:pPr>
          </w:p>
        </w:tc>
        <w:tc>
          <w:tcPr>
            <w:tcW w:w="782" w:type="pct"/>
            <w:vMerge w:val="continue"/>
            <w:vAlign w:val="center"/>
          </w:tcPr>
          <w:p w14:paraId="6FD89C36">
            <w:pPr>
              <w:widowControl/>
              <w:jc w:val="left"/>
              <w:rPr>
                <w:rFonts w:ascii="宋体" w:hAnsi="宋体" w:cs="宋体"/>
                <w:color w:val="000000"/>
                <w:kern w:val="0"/>
                <w:szCs w:val="21"/>
              </w:rPr>
            </w:pPr>
          </w:p>
        </w:tc>
      </w:tr>
      <w:tr w14:paraId="0595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49" w:type="pct"/>
            <w:shd w:val="clear" w:color="auto" w:fill="auto"/>
            <w:vAlign w:val="center"/>
          </w:tcPr>
          <w:p w14:paraId="2BB8833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35" w:type="pct"/>
            <w:vMerge w:val="continue"/>
            <w:vAlign w:val="center"/>
          </w:tcPr>
          <w:p w14:paraId="274A4E07">
            <w:pPr>
              <w:widowControl/>
              <w:jc w:val="left"/>
              <w:rPr>
                <w:rFonts w:ascii="宋体" w:hAnsi="宋体" w:cs="宋体"/>
                <w:color w:val="000000"/>
                <w:kern w:val="0"/>
                <w:szCs w:val="21"/>
              </w:rPr>
            </w:pPr>
          </w:p>
        </w:tc>
        <w:tc>
          <w:tcPr>
            <w:tcW w:w="401" w:type="pct"/>
            <w:shd w:val="clear" w:color="auto" w:fill="auto"/>
            <w:vAlign w:val="center"/>
          </w:tcPr>
          <w:p w14:paraId="7760E717">
            <w:pPr>
              <w:widowControl/>
              <w:jc w:val="center"/>
              <w:rPr>
                <w:rFonts w:ascii="宋体" w:hAnsi="宋体" w:cs="宋体"/>
                <w:color w:val="000000"/>
                <w:kern w:val="0"/>
                <w:szCs w:val="21"/>
              </w:rPr>
            </w:pPr>
            <w:r>
              <w:rPr>
                <w:rFonts w:hint="eastAsia" w:ascii="宋体" w:hAnsi="宋体" w:cs="宋体"/>
                <w:color w:val="000000"/>
                <w:kern w:val="0"/>
                <w:szCs w:val="21"/>
              </w:rPr>
              <w:t>事件上报</w:t>
            </w:r>
          </w:p>
        </w:tc>
        <w:tc>
          <w:tcPr>
            <w:tcW w:w="455" w:type="pct"/>
            <w:shd w:val="clear" w:color="auto" w:fill="auto"/>
            <w:vAlign w:val="center"/>
          </w:tcPr>
          <w:p w14:paraId="005F78D7">
            <w:pPr>
              <w:widowControl/>
              <w:jc w:val="center"/>
              <w:rPr>
                <w:rFonts w:ascii="宋体" w:hAnsi="宋体" w:cs="宋体"/>
                <w:color w:val="000000"/>
                <w:kern w:val="0"/>
                <w:szCs w:val="21"/>
              </w:rPr>
            </w:pPr>
            <w:r>
              <w:rPr>
                <w:rFonts w:hint="eastAsia" w:ascii="宋体" w:hAnsi="宋体" w:cs="宋体"/>
                <w:color w:val="000000"/>
                <w:kern w:val="0"/>
                <w:szCs w:val="21"/>
              </w:rPr>
              <w:t>事件告警</w:t>
            </w:r>
          </w:p>
        </w:tc>
        <w:tc>
          <w:tcPr>
            <w:tcW w:w="2187" w:type="pct"/>
            <w:shd w:val="clear" w:color="auto" w:fill="auto"/>
            <w:vAlign w:val="center"/>
          </w:tcPr>
          <w:p w14:paraId="32DAB892">
            <w:pPr>
              <w:widowControl/>
              <w:rPr>
                <w:rFonts w:ascii="宋体" w:hAnsi="宋体" w:cs="宋体"/>
                <w:color w:val="000000"/>
                <w:kern w:val="0"/>
                <w:szCs w:val="21"/>
              </w:rPr>
            </w:pPr>
            <w:r>
              <w:rPr>
                <w:rFonts w:hint="eastAsia" w:ascii="宋体" w:hAnsi="宋体" w:cs="宋体"/>
                <w:color w:val="000000"/>
                <w:kern w:val="0"/>
                <w:szCs w:val="21"/>
              </w:rPr>
              <w:t>建立及时准确的安全事件预警上报体系，在事件分类的基础上，进一步研究针对各类安全事件的响应对策，快速向招标人及相关方推出安全预警信息及解决方案，并协助招标人根据实际情况制定应急预案，针对监管单位通报或最新暴出的高危漏洞，第一时间确认通报是否属实，以及漏洞是否在招标人单位存在，漏洞影响范围等。</w:t>
            </w:r>
          </w:p>
        </w:tc>
        <w:tc>
          <w:tcPr>
            <w:tcW w:w="355" w:type="pct"/>
            <w:vMerge w:val="continue"/>
            <w:vAlign w:val="center"/>
          </w:tcPr>
          <w:p w14:paraId="41E99AEE">
            <w:pPr>
              <w:widowControl/>
              <w:jc w:val="left"/>
              <w:rPr>
                <w:rFonts w:ascii="宋体" w:hAnsi="宋体" w:cs="宋体"/>
                <w:color w:val="000000"/>
                <w:kern w:val="0"/>
                <w:szCs w:val="21"/>
              </w:rPr>
            </w:pPr>
          </w:p>
        </w:tc>
        <w:tc>
          <w:tcPr>
            <w:tcW w:w="233" w:type="pct"/>
            <w:vMerge w:val="continue"/>
            <w:vAlign w:val="center"/>
          </w:tcPr>
          <w:p w14:paraId="50D4BAEB">
            <w:pPr>
              <w:widowControl/>
              <w:jc w:val="left"/>
              <w:rPr>
                <w:rFonts w:ascii="宋体" w:hAnsi="宋体" w:cs="宋体"/>
                <w:color w:val="000000"/>
                <w:kern w:val="0"/>
                <w:szCs w:val="21"/>
              </w:rPr>
            </w:pPr>
          </w:p>
        </w:tc>
        <w:tc>
          <w:tcPr>
            <w:tcW w:w="782" w:type="pct"/>
            <w:vMerge w:val="continue"/>
            <w:vAlign w:val="center"/>
          </w:tcPr>
          <w:p w14:paraId="5EF34F3A">
            <w:pPr>
              <w:widowControl/>
              <w:jc w:val="left"/>
              <w:rPr>
                <w:rFonts w:ascii="宋体" w:hAnsi="宋体" w:cs="宋体"/>
                <w:color w:val="000000"/>
                <w:kern w:val="0"/>
                <w:szCs w:val="21"/>
              </w:rPr>
            </w:pPr>
          </w:p>
        </w:tc>
      </w:tr>
      <w:tr w14:paraId="669D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9" w:type="pct"/>
            <w:shd w:val="clear" w:color="auto" w:fill="auto"/>
            <w:vAlign w:val="center"/>
          </w:tcPr>
          <w:p w14:paraId="1618CEA4">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35" w:type="pct"/>
            <w:vMerge w:val="restart"/>
            <w:shd w:val="clear" w:color="auto" w:fill="auto"/>
            <w:vAlign w:val="center"/>
          </w:tcPr>
          <w:p w14:paraId="13BAF95F">
            <w:pPr>
              <w:widowControl/>
              <w:jc w:val="center"/>
              <w:rPr>
                <w:rFonts w:ascii="宋体" w:hAnsi="宋体" w:cs="宋体"/>
                <w:color w:val="000000"/>
                <w:kern w:val="0"/>
                <w:szCs w:val="21"/>
              </w:rPr>
            </w:pPr>
            <w:r>
              <w:rPr>
                <w:rFonts w:hint="eastAsia" w:ascii="宋体" w:hAnsi="宋体" w:cs="宋体"/>
                <w:color w:val="000000"/>
                <w:kern w:val="0"/>
                <w:szCs w:val="21"/>
              </w:rPr>
              <w:t>专项网络安全服务</w:t>
            </w:r>
          </w:p>
        </w:tc>
        <w:tc>
          <w:tcPr>
            <w:tcW w:w="401" w:type="pct"/>
            <w:shd w:val="clear" w:color="auto" w:fill="auto"/>
            <w:vAlign w:val="center"/>
          </w:tcPr>
          <w:p w14:paraId="33CAE632">
            <w:pPr>
              <w:widowControl/>
              <w:jc w:val="center"/>
              <w:rPr>
                <w:rFonts w:ascii="宋体" w:hAnsi="宋体" w:cs="宋体"/>
                <w:color w:val="000000"/>
                <w:kern w:val="0"/>
                <w:szCs w:val="21"/>
              </w:rPr>
            </w:pPr>
            <w:r>
              <w:rPr>
                <w:rFonts w:hint="eastAsia" w:ascii="宋体" w:hAnsi="宋体" w:cs="宋体"/>
                <w:color w:val="000000"/>
                <w:kern w:val="0"/>
                <w:szCs w:val="21"/>
              </w:rPr>
              <w:t>漏洞管理</w:t>
            </w:r>
          </w:p>
        </w:tc>
        <w:tc>
          <w:tcPr>
            <w:tcW w:w="455" w:type="pct"/>
            <w:shd w:val="clear" w:color="auto" w:fill="auto"/>
            <w:vAlign w:val="center"/>
          </w:tcPr>
          <w:p w14:paraId="04D32D08">
            <w:pPr>
              <w:widowControl/>
              <w:jc w:val="center"/>
              <w:rPr>
                <w:rFonts w:ascii="宋体" w:hAnsi="宋体" w:cs="宋体"/>
                <w:color w:val="auto"/>
                <w:kern w:val="0"/>
                <w:szCs w:val="21"/>
              </w:rPr>
            </w:pPr>
            <w:r>
              <w:rPr>
                <w:rFonts w:hint="eastAsia" w:ascii="宋体" w:hAnsi="宋体" w:cs="宋体"/>
                <w:color w:val="auto"/>
                <w:kern w:val="0"/>
                <w:szCs w:val="21"/>
              </w:rPr>
              <w:t>漏洞扫描服务</w:t>
            </w:r>
          </w:p>
        </w:tc>
        <w:tc>
          <w:tcPr>
            <w:tcW w:w="2187" w:type="pct"/>
            <w:shd w:val="clear" w:color="auto" w:fill="auto"/>
            <w:vAlign w:val="center"/>
          </w:tcPr>
          <w:p w14:paraId="6955257B">
            <w:pPr>
              <w:widowControl/>
              <w:rPr>
                <w:rFonts w:ascii="宋体" w:hAnsi="宋体" w:cs="宋体"/>
                <w:color w:val="auto"/>
                <w:kern w:val="0"/>
                <w:szCs w:val="21"/>
              </w:rPr>
            </w:pPr>
            <w:r>
              <w:rPr>
                <w:rFonts w:hint="eastAsia" w:ascii="宋体" w:hAnsi="宋体" w:cs="宋体"/>
                <w:color w:val="auto"/>
                <w:kern w:val="0"/>
                <w:szCs w:val="21"/>
              </w:rPr>
              <w:t>每季度开展1次漏洞扫描等漏洞识别服务，挖掘主机操作系统、中间件、数据库、安全设备等相关设备或应用的漏洞信息，定位未修复的漏洞，并提供漏洞修复建议，协助招标人完成漏洞修复。漏洞扫描需覆盖云上 ECS、数据库、本地服务器、医疗专用设备（如 HIS/LIS 服务器、医疗终端），高危漏洞修复率 100%，中危漏洞修复率≥95%，低危漏洞修复率≥80%，修复完成后 3 个工作日内完成复测。</w:t>
            </w:r>
          </w:p>
        </w:tc>
        <w:tc>
          <w:tcPr>
            <w:tcW w:w="355" w:type="pct"/>
            <w:vMerge w:val="restart"/>
            <w:shd w:val="clear" w:color="auto" w:fill="auto"/>
            <w:vAlign w:val="center"/>
          </w:tcPr>
          <w:p w14:paraId="37CBF52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33" w:type="pct"/>
            <w:vMerge w:val="restart"/>
            <w:shd w:val="clear" w:color="auto" w:fill="auto"/>
            <w:vAlign w:val="center"/>
          </w:tcPr>
          <w:p w14:paraId="2CBE903B">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782" w:type="pct"/>
            <w:shd w:val="clear" w:color="auto" w:fill="auto"/>
            <w:vAlign w:val="center"/>
          </w:tcPr>
          <w:p w14:paraId="54D177AA">
            <w:pPr>
              <w:widowControl/>
              <w:jc w:val="center"/>
              <w:rPr>
                <w:rFonts w:ascii="宋体" w:hAnsi="宋体" w:cs="宋体"/>
                <w:color w:val="000000"/>
                <w:kern w:val="0"/>
                <w:szCs w:val="21"/>
              </w:rPr>
            </w:pPr>
            <w:r>
              <w:rPr>
                <w:rFonts w:hint="eastAsia" w:ascii="宋体" w:hAnsi="宋体" w:cs="宋体"/>
                <w:color w:val="000000"/>
                <w:kern w:val="0"/>
                <w:szCs w:val="21"/>
              </w:rPr>
              <w:t>每季度完成漏扫后3个工作日内提供1份《漏洞扫描报告》</w:t>
            </w:r>
          </w:p>
        </w:tc>
      </w:tr>
      <w:tr w14:paraId="0DBB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49" w:type="pct"/>
            <w:shd w:val="clear" w:color="auto" w:fill="auto"/>
            <w:vAlign w:val="center"/>
          </w:tcPr>
          <w:p w14:paraId="631D692A">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35" w:type="pct"/>
            <w:vMerge w:val="continue"/>
            <w:vAlign w:val="center"/>
          </w:tcPr>
          <w:p w14:paraId="15456442">
            <w:pPr>
              <w:widowControl/>
              <w:jc w:val="left"/>
              <w:rPr>
                <w:rFonts w:ascii="宋体" w:hAnsi="宋体" w:cs="宋体"/>
                <w:color w:val="000000"/>
                <w:kern w:val="0"/>
                <w:szCs w:val="21"/>
              </w:rPr>
            </w:pPr>
          </w:p>
        </w:tc>
        <w:tc>
          <w:tcPr>
            <w:tcW w:w="401" w:type="pct"/>
            <w:shd w:val="clear" w:color="auto" w:fill="auto"/>
            <w:vAlign w:val="center"/>
          </w:tcPr>
          <w:p w14:paraId="0EC51A5A">
            <w:pPr>
              <w:widowControl/>
              <w:jc w:val="center"/>
              <w:rPr>
                <w:rFonts w:ascii="宋体" w:hAnsi="宋体" w:cs="宋体"/>
                <w:color w:val="000000"/>
                <w:kern w:val="0"/>
                <w:szCs w:val="21"/>
              </w:rPr>
            </w:pPr>
            <w:r>
              <w:rPr>
                <w:rFonts w:hint="eastAsia" w:ascii="宋体" w:hAnsi="宋体" w:cs="宋体"/>
                <w:color w:val="000000"/>
                <w:kern w:val="0"/>
                <w:szCs w:val="21"/>
              </w:rPr>
              <w:t>渗透测试</w:t>
            </w:r>
          </w:p>
        </w:tc>
        <w:tc>
          <w:tcPr>
            <w:tcW w:w="455" w:type="pct"/>
            <w:shd w:val="clear" w:color="auto" w:fill="auto"/>
            <w:vAlign w:val="center"/>
          </w:tcPr>
          <w:p w14:paraId="7183DD8B">
            <w:pPr>
              <w:widowControl/>
              <w:jc w:val="center"/>
              <w:rPr>
                <w:rFonts w:ascii="宋体" w:hAnsi="宋体" w:cs="宋体"/>
                <w:color w:val="000000"/>
                <w:kern w:val="0"/>
                <w:szCs w:val="21"/>
              </w:rPr>
            </w:pPr>
            <w:r>
              <w:rPr>
                <w:rFonts w:hint="eastAsia" w:ascii="宋体" w:hAnsi="宋体" w:cs="宋体"/>
                <w:color w:val="000000"/>
                <w:kern w:val="0"/>
                <w:szCs w:val="21"/>
              </w:rPr>
              <w:t>渗透测试服务</w:t>
            </w:r>
          </w:p>
        </w:tc>
        <w:tc>
          <w:tcPr>
            <w:tcW w:w="2187" w:type="pct"/>
            <w:shd w:val="clear" w:color="auto" w:fill="auto"/>
            <w:vAlign w:val="center"/>
          </w:tcPr>
          <w:p w14:paraId="4620EC04">
            <w:pPr>
              <w:widowControl/>
              <w:rPr>
                <w:rFonts w:hint="eastAsia" w:ascii="宋体" w:hAnsi="宋体" w:cs="宋体"/>
                <w:color w:val="000000"/>
                <w:kern w:val="0"/>
                <w:szCs w:val="21"/>
              </w:rPr>
            </w:pPr>
            <w:r>
              <w:rPr>
                <w:rFonts w:hint="eastAsia" w:ascii="宋体" w:hAnsi="宋体" w:cs="宋体"/>
                <w:color w:val="000000"/>
                <w:kern w:val="0"/>
                <w:szCs w:val="21"/>
              </w:rPr>
              <w:t>每季度对招标人指定信息系统开展周期性的渗透测试服务，以模拟黑客攻击的手段，从攻击者角度发现招标人的网络安全风险，先一步攻击者发现网络相关漏洞，防止被攻击者利用。重点针对 HIS、LIS、PACS、电子病历、微信公众号 / 小程序等医疗核心业务系统，测试覆盖率 100%，发现的高危漏洞需在测试报告出具后 48 小时内完成应急处置。</w:t>
            </w:r>
          </w:p>
        </w:tc>
        <w:tc>
          <w:tcPr>
            <w:tcW w:w="355" w:type="pct"/>
            <w:vMerge w:val="continue"/>
            <w:vAlign w:val="center"/>
          </w:tcPr>
          <w:p w14:paraId="3B24B561">
            <w:pPr>
              <w:widowControl/>
              <w:jc w:val="left"/>
              <w:rPr>
                <w:rFonts w:ascii="宋体" w:hAnsi="宋体" w:cs="宋体"/>
                <w:color w:val="000000"/>
                <w:kern w:val="0"/>
                <w:szCs w:val="21"/>
              </w:rPr>
            </w:pPr>
          </w:p>
        </w:tc>
        <w:tc>
          <w:tcPr>
            <w:tcW w:w="233" w:type="pct"/>
            <w:vMerge w:val="continue"/>
            <w:vAlign w:val="center"/>
          </w:tcPr>
          <w:p w14:paraId="2C947348">
            <w:pPr>
              <w:widowControl/>
              <w:jc w:val="left"/>
              <w:rPr>
                <w:rFonts w:ascii="宋体" w:hAnsi="宋体" w:cs="宋体"/>
                <w:color w:val="000000"/>
                <w:kern w:val="0"/>
                <w:szCs w:val="21"/>
              </w:rPr>
            </w:pPr>
          </w:p>
        </w:tc>
        <w:tc>
          <w:tcPr>
            <w:tcW w:w="782" w:type="pct"/>
            <w:shd w:val="clear" w:color="auto" w:fill="auto"/>
            <w:vAlign w:val="center"/>
          </w:tcPr>
          <w:p w14:paraId="302836FD">
            <w:pPr>
              <w:widowControl/>
              <w:jc w:val="center"/>
              <w:rPr>
                <w:rFonts w:ascii="宋体" w:hAnsi="宋体" w:cs="宋体"/>
                <w:color w:val="000000"/>
                <w:kern w:val="0"/>
                <w:szCs w:val="21"/>
              </w:rPr>
            </w:pPr>
            <w:r>
              <w:rPr>
                <w:rFonts w:hint="eastAsia" w:ascii="宋体" w:hAnsi="宋体" w:cs="宋体"/>
                <w:color w:val="000000"/>
                <w:kern w:val="0"/>
                <w:szCs w:val="21"/>
              </w:rPr>
              <w:t>每季度完成渗透测试后3个工作日内提供1份《渗透测试报告》</w:t>
            </w:r>
          </w:p>
        </w:tc>
      </w:tr>
      <w:tr w14:paraId="77D7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 w:type="pct"/>
            <w:shd w:val="clear" w:color="auto" w:fill="auto"/>
            <w:vAlign w:val="center"/>
          </w:tcPr>
          <w:p w14:paraId="20AD8545">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35" w:type="pct"/>
            <w:vMerge w:val="continue"/>
            <w:vAlign w:val="center"/>
          </w:tcPr>
          <w:p w14:paraId="0EB69CFA">
            <w:pPr>
              <w:widowControl/>
              <w:jc w:val="left"/>
              <w:rPr>
                <w:rFonts w:ascii="宋体" w:hAnsi="宋体" w:cs="宋体"/>
                <w:color w:val="000000"/>
                <w:kern w:val="0"/>
                <w:szCs w:val="21"/>
              </w:rPr>
            </w:pPr>
          </w:p>
        </w:tc>
        <w:tc>
          <w:tcPr>
            <w:tcW w:w="401" w:type="pct"/>
            <w:shd w:val="clear" w:color="auto" w:fill="auto"/>
            <w:vAlign w:val="center"/>
          </w:tcPr>
          <w:p w14:paraId="3EEA2756">
            <w:pPr>
              <w:widowControl/>
              <w:jc w:val="center"/>
              <w:rPr>
                <w:rFonts w:ascii="宋体" w:hAnsi="宋体" w:cs="宋体"/>
                <w:color w:val="000000"/>
                <w:kern w:val="0"/>
                <w:szCs w:val="21"/>
              </w:rPr>
            </w:pPr>
            <w:r>
              <w:rPr>
                <w:rFonts w:hint="eastAsia" w:ascii="宋体" w:hAnsi="宋体" w:cs="宋体"/>
                <w:color w:val="000000"/>
                <w:kern w:val="0"/>
                <w:szCs w:val="21"/>
              </w:rPr>
              <w:t>专项检查</w:t>
            </w:r>
          </w:p>
        </w:tc>
        <w:tc>
          <w:tcPr>
            <w:tcW w:w="455" w:type="pct"/>
            <w:shd w:val="clear" w:color="auto" w:fill="auto"/>
            <w:vAlign w:val="center"/>
          </w:tcPr>
          <w:p w14:paraId="667462F2">
            <w:pPr>
              <w:widowControl/>
              <w:jc w:val="center"/>
              <w:rPr>
                <w:rFonts w:ascii="宋体" w:hAnsi="宋体" w:cs="宋体"/>
                <w:color w:val="000000"/>
                <w:kern w:val="0"/>
                <w:szCs w:val="21"/>
              </w:rPr>
            </w:pPr>
            <w:r>
              <w:rPr>
                <w:rFonts w:hint="eastAsia" w:ascii="宋体" w:hAnsi="宋体" w:cs="宋体"/>
                <w:color w:val="000000"/>
                <w:kern w:val="0"/>
                <w:szCs w:val="21"/>
              </w:rPr>
              <w:t>专项检查服务</w:t>
            </w:r>
          </w:p>
        </w:tc>
        <w:tc>
          <w:tcPr>
            <w:tcW w:w="2187" w:type="pct"/>
            <w:shd w:val="clear" w:color="auto" w:fill="auto"/>
            <w:vAlign w:val="center"/>
          </w:tcPr>
          <w:p w14:paraId="7646C959">
            <w:pPr>
              <w:widowControl/>
              <w:rPr>
                <w:rFonts w:hint="eastAsia" w:ascii="宋体" w:hAnsi="宋体" w:cs="宋体"/>
                <w:color w:val="000000"/>
                <w:kern w:val="0"/>
                <w:szCs w:val="21"/>
              </w:rPr>
            </w:pPr>
            <w:r>
              <w:rPr>
                <w:rFonts w:hint="eastAsia" w:ascii="宋体" w:hAnsi="宋体" w:cs="宋体"/>
                <w:color w:val="000000"/>
                <w:kern w:val="0"/>
                <w:szCs w:val="21"/>
              </w:rPr>
              <w:t>每季度开展专项安全检查行动，专项检查内容包括但不限于：弱口令排查、违规接入与设备外联风险排查、公众号小程序专项检测等，并输出检查报告，配合完成整改。</w:t>
            </w:r>
          </w:p>
        </w:tc>
        <w:tc>
          <w:tcPr>
            <w:tcW w:w="355" w:type="pct"/>
            <w:vMerge w:val="continue"/>
            <w:vAlign w:val="center"/>
          </w:tcPr>
          <w:p w14:paraId="3FC2ADC9">
            <w:pPr>
              <w:widowControl/>
              <w:jc w:val="left"/>
              <w:rPr>
                <w:rFonts w:ascii="宋体" w:hAnsi="宋体" w:cs="宋体"/>
                <w:color w:val="000000"/>
                <w:kern w:val="0"/>
                <w:szCs w:val="21"/>
              </w:rPr>
            </w:pPr>
          </w:p>
        </w:tc>
        <w:tc>
          <w:tcPr>
            <w:tcW w:w="233" w:type="pct"/>
            <w:vMerge w:val="continue"/>
            <w:vAlign w:val="center"/>
          </w:tcPr>
          <w:p w14:paraId="13798A43">
            <w:pPr>
              <w:widowControl/>
              <w:jc w:val="left"/>
              <w:rPr>
                <w:rFonts w:ascii="宋体" w:hAnsi="宋体" w:cs="宋体"/>
                <w:color w:val="000000"/>
                <w:kern w:val="0"/>
                <w:szCs w:val="21"/>
              </w:rPr>
            </w:pPr>
          </w:p>
        </w:tc>
        <w:tc>
          <w:tcPr>
            <w:tcW w:w="782" w:type="pct"/>
            <w:shd w:val="clear" w:color="auto" w:fill="auto"/>
            <w:vAlign w:val="center"/>
          </w:tcPr>
          <w:p w14:paraId="74B48E26">
            <w:pPr>
              <w:widowControl/>
              <w:jc w:val="center"/>
              <w:rPr>
                <w:rFonts w:ascii="宋体" w:hAnsi="宋体" w:cs="宋体"/>
                <w:color w:val="000000"/>
                <w:kern w:val="0"/>
                <w:szCs w:val="21"/>
              </w:rPr>
            </w:pPr>
            <w:r>
              <w:rPr>
                <w:rFonts w:hint="eastAsia" w:ascii="宋体" w:hAnsi="宋体" w:cs="宋体"/>
                <w:color w:val="000000"/>
                <w:kern w:val="0"/>
                <w:szCs w:val="21"/>
              </w:rPr>
              <w:t>每季度专项安全检查后3个工作日内提供1份《专项检查报告》</w:t>
            </w:r>
          </w:p>
        </w:tc>
      </w:tr>
      <w:tr w14:paraId="6BF3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49" w:type="pct"/>
            <w:shd w:val="clear" w:color="auto" w:fill="auto"/>
            <w:vAlign w:val="center"/>
          </w:tcPr>
          <w:p w14:paraId="6C9C0BA4">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335" w:type="pct"/>
            <w:vMerge w:val="continue"/>
            <w:vAlign w:val="center"/>
          </w:tcPr>
          <w:p w14:paraId="1ACB28B0">
            <w:pPr>
              <w:widowControl/>
              <w:jc w:val="left"/>
              <w:rPr>
                <w:rFonts w:ascii="宋体" w:hAnsi="宋体" w:cs="宋体"/>
                <w:color w:val="000000"/>
                <w:kern w:val="0"/>
                <w:szCs w:val="21"/>
              </w:rPr>
            </w:pPr>
          </w:p>
        </w:tc>
        <w:tc>
          <w:tcPr>
            <w:tcW w:w="401" w:type="pct"/>
            <w:shd w:val="clear" w:color="auto" w:fill="auto"/>
            <w:vAlign w:val="center"/>
          </w:tcPr>
          <w:p w14:paraId="04840CC1">
            <w:pPr>
              <w:widowControl/>
              <w:jc w:val="center"/>
              <w:rPr>
                <w:rFonts w:ascii="宋体" w:hAnsi="宋体" w:cs="宋体"/>
                <w:color w:val="000000"/>
                <w:kern w:val="0"/>
                <w:szCs w:val="21"/>
              </w:rPr>
            </w:pPr>
            <w:r>
              <w:rPr>
                <w:rFonts w:hint="eastAsia" w:ascii="宋体" w:hAnsi="宋体" w:cs="宋体"/>
                <w:color w:val="000000"/>
                <w:kern w:val="0"/>
                <w:szCs w:val="21"/>
              </w:rPr>
              <w:t>策略管理</w:t>
            </w:r>
          </w:p>
        </w:tc>
        <w:tc>
          <w:tcPr>
            <w:tcW w:w="455" w:type="pct"/>
            <w:shd w:val="clear" w:color="auto" w:fill="auto"/>
            <w:vAlign w:val="center"/>
          </w:tcPr>
          <w:p w14:paraId="75C5C8B3">
            <w:pPr>
              <w:widowControl/>
              <w:jc w:val="center"/>
              <w:rPr>
                <w:rFonts w:ascii="宋体" w:hAnsi="宋体" w:cs="宋体"/>
                <w:color w:val="000000"/>
                <w:kern w:val="0"/>
                <w:szCs w:val="21"/>
              </w:rPr>
            </w:pPr>
            <w:r>
              <w:rPr>
                <w:rFonts w:hint="eastAsia" w:ascii="宋体" w:hAnsi="宋体" w:cs="宋体"/>
                <w:color w:val="000000"/>
                <w:kern w:val="0"/>
                <w:szCs w:val="21"/>
              </w:rPr>
              <w:t>策略管理服务</w:t>
            </w:r>
          </w:p>
        </w:tc>
        <w:tc>
          <w:tcPr>
            <w:tcW w:w="2187" w:type="pct"/>
            <w:shd w:val="clear" w:color="auto" w:fill="auto"/>
            <w:vAlign w:val="center"/>
          </w:tcPr>
          <w:p w14:paraId="0FBAF975">
            <w:pPr>
              <w:widowControl/>
              <w:rPr>
                <w:rFonts w:hint="eastAsia" w:ascii="宋体" w:hAnsi="宋体" w:cs="宋体"/>
                <w:color w:val="000000"/>
                <w:kern w:val="0"/>
                <w:szCs w:val="21"/>
              </w:rPr>
            </w:pPr>
            <w:r>
              <w:rPr>
                <w:rFonts w:hint="eastAsia" w:ascii="宋体" w:hAnsi="宋体" w:cs="宋体"/>
                <w:color w:val="000000"/>
                <w:kern w:val="0"/>
                <w:szCs w:val="21"/>
              </w:rPr>
              <w:t>每月进行安全策略的梳理和检查，定期针对日常安全监测和安全风险检查的结果进行综合分析研判，识别网络安全风险、脆弱性和不合规配置项，从整体网络安全技术防护策略的角度提出准确、有效的改进措施，指导和协助开展策略配置调优，确保安全策略符合标准要求，使设备的安全防护能力有效发挥；以持续提升安全运行和防护能力。</w:t>
            </w:r>
          </w:p>
        </w:tc>
        <w:tc>
          <w:tcPr>
            <w:tcW w:w="355" w:type="pct"/>
            <w:vMerge w:val="continue"/>
            <w:vAlign w:val="center"/>
          </w:tcPr>
          <w:p w14:paraId="1573BB69">
            <w:pPr>
              <w:widowControl/>
              <w:jc w:val="left"/>
              <w:rPr>
                <w:rFonts w:ascii="宋体" w:hAnsi="宋体" w:cs="宋体"/>
                <w:color w:val="000000"/>
                <w:kern w:val="0"/>
                <w:szCs w:val="21"/>
              </w:rPr>
            </w:pPr>
          </w:p>
        </w:tc>
        <w:tc>
          <w:tcPr>
            <w:tcW w:w="233" w:type="pct"/>
            <w:vMerge w:val="continue"/>
            <w:vAlign w:val="center"/>
          </w:tcPr>
          <w:p w14:paraId="3A5F688C">
            <w:pPr>
              <w:widowControl/>
              <w:jc w:val="left"/>
              <w:rPr>
                <w:rFonts w:ascii="宋体" w:hAnsi="宋体" w:cs="宋体"/>
                <w:color w:val="000000"/>
                <w:kern w:val="0"/>
                <w:szCs w:val="21"/>
              </w:rPr>
            </w:pPr>
          </w:p>
        </w:tc>
        <w:tc>
          <w:tcPr>
            <w:tcW w:w="782" w:type="pct"/>
            <w:shd w:val="clear" w:color="auto" w:fill="auto"/>
            <w:vAlign w:val="center"/>
          </w:tcPr>
          <w:p w14:paraId="31E550B6">
            <w:pPr>
              <w:widowControl/>
              <w:jc w:val="center"/>
              <w:rPr>
                <w:rFonts w:ascii="宋体" w:hAnsi="宋体" w:cs="宋体"/>
                <w:color w:val="000000"/>
                <w:kern w:val="0"/>
                <w:szCs w:val="21"/>
              </w:rPr>
            </w:pPr>
            <w:r>
              <w:rPr>
                <w:rFonts w:hint="eastAsia" w:ascii="宋体" w:hAnsi="宋体" w:cs="宋体"/>
                <w:color w:val="000000"/>
                <w:kern w:val="0"/>
                <w:szCs w:val="21"/>
              </w:rPr>
              <w:t>每月完成安全策略检查后3个工作日内提供1份《分析研判报告》</w:t>
            </w:r>
          </w:p>
        </w:tc>
      </w:tr>
      <w:tr w14:paraId="3ABE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 w:type="pct"/>
            <w:shd w:val="clear" w:color="auto" w:fill="auto"/>
            <w:vAlign w:val="center"/>
          </w:tcPr>
          <w:p w14:paraId="1CA78E95">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335" w:type="pct"/>
            <w:vMerge w:val="continue"/>
            <w:vAlign w:val="center"/>
          </w:tcPr>
          <w:p w14:paraId="38A6EE6E">
            <w:pPr>
              <w:widowControl/>
              <w:jc w:val="left"/>
              <w:rPr>
                <w:rFonts w:ascii="宋体" w:hAnsi="宋体" w:cs="宋体"/>
                <w:color w:val="000000"/>
                <w:kern w:val="0"/>
                <w:szCs w:val="21"/>
              </w:rPr>
            </w:pPr>
          </w:p>
        </w:tc>
        <w:tc>
          <w:tcPr>
            <w:tcW w:w="401" w:type="pct"/>
            <w:shd w:val="clear" w:color="auto" w:fill="auto"/>
            <w:vAlign w:val="center"/>
          </w:tcPr>
          <w:p w14:paraId="71C60584">
            <w:pPr>
              <w:widowControl/>
              <w:jc w:val="center"/>
              <w:rPr>
                <w:rFonts w:ascii="宋体" w:hAnsi="宋体" w:cs="宋体"/>
                <w:color w:val="000000"/>
                <w:kern w:val="0"/>
                <w:szCs w:val="21"/>
              </w:rPr>
            </w:pPr>
            <w:r>
              <w:rPr>
                <w:rFonts w:hint="eastAsia" w:ascii="宋体" w:hAnsi="宋体" w:cs="宋体"/>
                <w:color w:val="000000"/>
                <w:kern w:val="0"/>
                <w:szCs w:val="21"/>
              </w:rPr>
              <w:t>项目管理</w:t>
            </w:r>
          </w:p>
        </w:tc>
        <w:tc>
          <w:tcPr>
            <w:tcW w:w="455" w:type="pct"/>
            <w:shd w:val="clear" w:color="auto" w:fill="auto"/>
            <w:vAlign w:val="center"/>
          </w:tcPr>
          <w:p w14:paraId="49484D07">
            <w:pPr>
              <w:widowControl/>
              <w:jc w:val="center"/>
              <w:rPr>
                <w:rFonts w:ascii="宋体" w:hAnsi="宋体" w:cs="宋体"/>
                <w:color w:val="000000"/>
                <w:kern w:val="0"/>
                <w:szCs w:val="21"/>
              </w:rPr>
            </w:pPr>
            <w:r>
              <w:rPr>
                <w:rFonts w:hint="eastAsia" w:ascii="宋体" w:hAnsi="宋体" w:cs="宋体"/>
                <w:color w:val="000000"/>
                <w:kern w:val="0"/>
                <w:szCs w:val="21"/>
              </w:rPr>
              <w:t>项目管理服务</w:t>
            </w:r>
          </w:p>
        </w:tc>
        <w:tc>
          <w:tcPr>
            <w:tcW w:w="2187" w:type="pct"/>
            <w:shd w:val="clear" w:color="auto" w:fill="auto"/>
            <w:vAlign w:val="center"/>
          </w:tcPr>
          <w:p w14:paraId="19087A12">
            <w:pPr>
              <w:widowControl/>
              <w:rPr>
                <w:rFonts w:hint="eastAsia" w:ascii="宋体" w:hAnsi="宋体" w:cs="宋体"/>
                <w:color w:val="000000"/>
                <w:kern w:val="0"/>
                <w:szCs w:val="21"/>
              </w:rPr>
            </w:pPr>
            <w:r>
              <w:rPr>
                <w:rFonts w:hint="eastAsia" w:ascii="宋体" w:hAnsi="宋体" w:cs="宋体"/>
                <w:color w:val="000000"/>
                <w:kern w:val="0"/>
                <w:szCs w:val="21"/>
              </w:rPr>
              <w:t>组织项目资源、把控项目质量、跟踪项目进度，每季度完成季度总结汇报等。同时对接招标人各业务部门，以及院外业务系统、等保测评机构、监管机构等。</w:t>
            </w:r>
          </w:p>
        </w:tc>
        <w:tc>
          <w:tcPr>
            <w:tcW w:w="355" w:type="pct"/>
            <w:vMerge w:val="continue"/>
            <w:vAlign w:val="center"/>
          </w:tcPr>
          <w:p w14:paraId="05CD2F4E">
            <w:pPr>
              <w:widowControl/>
              <w:jc w:val="left"/>
              <w:rPr>
                <w:rFonts w:ascii="宋体" w:hAnsi="宋体" w:cs="宋体"/>
                <w:color w:val="000000"/>
                <w:kern w:val="0"/>
                <w:szCs w:val="21"/>
              </w:rPr>
            </w:pPr>
          </w:p>
        </w:tc>
        <w:tc>
          <w:tcPr>
            <w:tcW w:w="233" w:type="pct"/>
            <w:vMerge w:val="continue"/>
            <w:vAlign w:val="center"/>
          </w:tcPr>
          <w:p w14:paraId="5F4A9F3E">
            <w:pPr>
              <w:widowControl/>
              <w:jc w:val="left"/>
              <w:rPr>
                <w:rFonts w:ascii="宋体" w:hAnsi="宋体" w:cs="宋体"/>
                <w:color w:val="000000"/>
                <w:kern w:val="0"/>
                <w:szCs w:val="21"/>
              </w:rPr>
            </w:pPr>
          </w:p>
        </w:tc>
        <w:tc>
          <w:tcPr>
            <w:tcW w:w="782" w:type="pct"/>
            <w:shd w:val="clear" w:color="auto" w:fill="auto"/>
            <w:vAlign w:val="center"/>
          </w:tcPr>
          <w:p w14:paraId="3E9586F5">
            <w:pPr>
              <w:widowControl/>
              <w:jc w:val="center"/>
              <w:rPr>
                <w:rFonts w:ascii="宋体" w:hAnsi="宋体" w:cs="宋体"/>
                <w:color w:val="000000"/>
                <w:kern w:val="0"/>
                <w:szCs w:val="21"/>
              </w:rPr>
            </w:pPr>
            <w:r>
              <w:rPr>
                <w:rFonts w:hint="eastAsia" w:ascii="宋体" w:hAnsi="宋体" w:cs="宋体"/>
                <w:color w:val="000000"/>
                <w:kern w:val="0"/>
                <w:szCs w:val="21"/>
              </w:rPr>
              <w:t>每季度末提供1份《项目总结报告》</w:t>
            </w:r>
          </w:p>
        </w:tc>
      </w:tr>
      <w:tr w14:paraId="3C75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9" w:type="pct"/>
            <w:shd w:val="clear" w:color="auto" w:fill="auto"/>
            <w:vAlign w:val="center"/>
          </w:tcPr>
          <w:p w14:paraId="13E8E808">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35" w:type="pct"/>
            <w:vMerge w:val="continue"/>
            <w:vAlign w:val="center"/>
          </w:tcPr>
          <w:p w14:paraId="1D751768">
            <w:pPr>
              <w:widowControl/>
              <w:jc w:val="left"/>
              <w:rPr>
                <w:rFonts w:ascii="宋体" w:hAnsi="宋体" w:cs="宋体"/>
                <w:color w:val="000000"/>
                <w:kern w:val="0"/>
                <w:szCs w:val="21"/>
              </w:rPr>
            </w:pPr>
          </w:p>
        </w:tc>
        <w:tc>
          <w:tcPr>
            <w:tcW w:w="401" w:type="pct"/>
            <w:shd w:val="clear" w:color="auto" w:fill="auto"/>
            <w:vAlign w:val="center"/>
          </w:tcPr>
          <w:p w14:paraId="2A95ADAC">
            <w:pPr>
              <w:widowControl/>
              <w:jc w:val="center"/>
              <w:rPr>
                <w:rFonts w:ascii="宋体" w:hAnsi="宋体" w:cs="宋体"/>
                <w:color w:val="000000"/>
                <w:kern w:val="0"/>
                <w:szCs w:val="21"/>
              </w:rPr>
            </w:pPr>
            <w:r>
              <w:rPr>
                <w:rFonts w:hint="eastAsia" w:ascii="宋体" w:hAnsi="宋体" w:cs="宋体"/>
                <w:color w:val="000000"/>
                <w:kern w:val="0"/>
                <w:szCs w:val="21"/>
              </w:rPr>
              <w:t>安全管理制度</w:t>
            </w:r>
          </w:p>
        </w:tc>
        <w:tc>
          <w:tcPr>
            <w:tcW w:w="455" w:type="pct"/>
            <w:shd w:val="clear" w:color="auto" w:fill="auto"/>
            <w:vAlign w:val="center"/>
          </w:tcPr>
          <w:p w14:paraId="3F3B766A">
            <w:pPr>
              <w:widowControl/>
              <w:jc w:val="center"/>
              <w:rPr>
                <w:rFonts w:ascii="宋体" w:hAnsi="宋体" w:cs="宋体"/>
                <w:color w:val="000000"/>
                <w:kern w:val="0"/>
                <w:szCs w:val="21"/>
              </w:rPr>
            </w:pPr>
            <w:r>
              <w:rPr>
                <w:rFonts w:hint="eastAsia" w:ascii="宋体" w:hAnsi="宋体" w:cs="宋体"/>
                <w:color w:val="000000"/>
                <w:kern w:val="0"/>
                <w:szCs w:val="21"/>
              </w:rPr>
              <w:t>安全管理制度服务</w:t>
            </w:r>
          </w:p>
        </w:tc>
        <w:tc>
          <w:tcPr>
            <w:tcW w:w="2187" w:type="pct"/>
            <w:shd w:val="clear" w:color="auto" w:fill="auto"/>
            <w:vAlign w:val="center"/>
          </w:tcPr>
          <w:p w14:paraId="50F70B60">
            <w:pPr>
              <w:widowControl/>
              <w:rPr>
                <w:rFonts w:hint="eastAsia" w:ascii="宋体" w:hAnsi="宋体" w:cs="宋体"/>
                <w:color w:val="000000"/>
                <w:kern w:val="0"/>
                <w:szCs w:val="21"/>
              </w:rPr>
            </w:pPr>
            <w:r>
              <w:rPr>
                <w:rFonts w:hint="eastAsia" w:ascii="宋体" w:hAnsi="宋体" w:cs="宋体"/>
                <w:color w:val="000000"/>
                <w:kern w:val="0"/>
                <w:szCs w:val="21"/>
              </w:rPr>
              <w:t>结合新的政策要求以及招标人的具体需求，动态补充安全管理制度，并与原有制度相融合，安全管理制度的建设需要覆盖安全方针、管理办法、实施规范、记录表单等多级安全管理制度文件，指导全集化安全工作的实施及优化。</w:t>
            </w:r>
          </w:p>
        </w:tc>
        <w:tc>
          <w:tcPr>
            <w:tcW w:w="355" w:type="pct"/>
            <w:vMerge w:val="continue"/>
            <w:vAlign w:val="center"/>
          </w:tcPr>
          <w:p w14:paraId="23EA01C0">
            <w:pPr>
              <w:widowControl/>
              <w:jc w:val="left"/>
              <w:rPr>
                <w:rFonts w:ascii="宋体" w:hAnsi="宋体" w:cs="宋体"/>
                <w:color w:val="000000"/>
                <w:kern w:val="0"/>
                <w:szCs w:val="21"/>
              </w:rPr>
            </w:pPr>
          </w:p>
        </w:tc>
        <w:tc>
          <w:tcPr>
            <w:tcW w:w="233" w:type="pct"/>
            <w:vMerge w:val="continue"/>
            <w:vAlign w:val="center"/>
          </w:tcPr>
          <w:p w14:paraId="1991A7EC">
            <w:pPr>
              <w:widowControl/>
              <w:jc w:val="left"/>
              <w:rPr>
                <w:rFonts w:ascii="宋体" w:hAnsi="宋体" w:cs="宋体"/>
                <w:color w:val="000000"/>
                <w:kern w:val="0"/>
                <w:szCs w:val="21"/>
              </w:rPr>
            </w:pPr>
          </w:p>
        </w:tc>
        <w:tc>
          <w:tcPr>
            <w:tcW w:w="782" w:type="pct"/>
            <w:shd w:val="clear" w:color="auto" w:fill="auto"/>
            <w:vAlign w:val="center"/>
          </w:tcPr>
          <w:p w14:paraId="2E3AC4B1">
            <w:pPr>
              <w:widowControl/>
              <w:jc w:val="center"/>
              <w:rPr>
                <w:rFonts w:ascii="宋体" w:hAnsi="宋体" w:cs="宋体"/>
                <w:color w:val="000000"/>
                <w:kern w:val="0"/>
                <w:szCs w:val="21"/>
              </w:rPr>
            </w:pPr>
            <w:r>
              <w:rPr>
                <w:rFonts w:hint="eastAsia" w:ascii="宋体" w:hAnsi="宋体" w:cs="宋体"/>
                <w:color w:val="000000"/>
                <w:kern w:val="0"/>
                <w:szCs w:val="21"/>
              </w:rPr>
              <w:t>每年根据新政策及招标人要求提供1份《安全管理制度》</w:t>
            </w:r>
          </w:p>
        </w:tc>
      </w:tr>
      <w:tr w14:paraId="57A7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9" w:type="pct"/>
            <w:shd w:val="clear" w:color="auto" w:fill="auto"/>
            <w:vAlign w:val="center"/>
          </w:tcPr>
          <w:p w14:paraId="3A648D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335" w:type="pct"/>
            <w:vMerge w:val="continue"/>
            <w:vAlign w:val="center"/>
          </w:tcPr>
          <w:p w14:paraId="028CC63C">
            <w:pPr>
              <w:widowControl/>
              <w:jc w:val="left"/>
              <w:rPr>
                <w:rFonts w:ascii="宋体" w:hAnsi="宋体" w:cs="宋体"/>
                <w:color w:val="000000"/>
                <w:kern w:val="0"/>
                <w:szCs w:val="21"/>
              </w:rPr>
            </w:pPr>
          </w:p>
        </w:tc>
        <w:tc>
          <w:tcPr>
            <w:tcW w:w="401" w:type="pct"/>
            <w:shd w:val="clear" w:color="auto" w:fill="auto"/>
            <w:vAlign w:val="center"/>
          </w:tcPr>
          <w:p w14:paraId="5FE4884E">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三级</w:t>
            </w:r>
            <w:r>
              <w:rPr>
                <w:rFonts w:hint="eastAsia" w:ascii="宋体" w:hAnsi="宋体" w:cs="宋体"/>
                <w:color w:val="000000"/>
                <w:kern w:val="0"/>
                <w:szCs w:val="21"/>
              </w:rPr>
              <w:t>等保</w:t>
            </w:r>
            <w:r>
              <w:rPr>
                <w:rFonts w:hint="eastAsia" w:ascii="宋体" w:hAnsi="宋体" w:cs="宋体"/>
                <w:color w:val="000000"/>
                <w:kern w:val="0"/>
                <w:szCs w:val="21"/>
                <w:lang w:val="en-US" w:eastAsia="zh-CN"/>
              </w:rPr>
              <w:t>服务</w:t>
            </w:r>
          </w:p>
        </w:tc>
        <w:tc>
          <w:tcPr>
            <w:tcW w:w="455" w:type="pct"/>
            <w:shd w:val="clear" w:color="auto" w:fill="auto"/>
            <w:vAlign w:val="center"/>
          </w:tcPr>
          <w:p w14:paraId="5810561B">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三级</w:t>
            </w:r>
            <w:r>
              <w:rPr>
                <w:rFonts w:hint="eastAsia" w:ascii="宋体" w:hAnsi="宋体" w:cs="宋体"/>
                <w:color w:val="000000"/>
                <w:kern w:val="0"/>
                <w:szCs w:val="21"/>
              </w:rPr>
              <w:t>等保建设服务</w:t>
            </w:r>
          </w:p>
        </w:tc>
        <w:tc>
          <w:tcPr>
            <w:tcW w:w="2187" w:type="pct"/>
            <w:shd w:val="clear" w:color="auto" w:fill="auto"/>
            <w:vAlign w:val="center"/>
          </w:tcPr>
          <w:p w14:paraId="0D661CF7">
            <w:pPr>
              <w:widowControl/>
              <w:rPr>
                <w:rFonts w:hint="eastAsia" w:ascii="宋体" w:hAnsi="宋体" w:cs="宋体"/>
                <w:color w:val="000000"/>
                <w:kern w:val="0"/>
                <w:szCs w:val="21"/>
              </w:rPr>
            </w:pPr>
            <w:r>
              <w:rPr>
                <w:rFonts w:hint="eastAsia" w:ascii="宋体" w:hAnsi="宋体" w:cs="宋体"/>
                <w:color w:val="000000"/>
                <w:kern w:val="0"/>
                <w:szCs w:val="21"/>
              </w:rPr>
              <w:t>在提供设备的基础上，提供等保咨询人员，保障招标人安全技术水平满足等保要求，通过顺利等保测评。</w:t>
            </w:r>
          </w:p>
        </w:tc>
        <w:tc>
          <w:tcPr>
            <w:tcW w:w="355" w:type="pct"/>
            <w:vMerge w:val="continue"/>
            <w:vAlign w:val="center"/>
          </w:tcPr>
          <w:p w14:paraId="03D7D510">
            <w:pPr>
              <w:widowControl/>
              <w:jc w:val="left"/>
              <w:rPr>
                <w:rFonts w:ascii="宋体" w:hAnsi="宋体" w:cs="宋体"/>
                <w:color w:val="000000"/>
                <w:kern w:val="0"/>
                <w:szCs w:val="21"/>
              </w:rPr>
            </w:pPr>
          </w:p>
        </w:tc>
        <w:tc>
          <w:tcPr>
            <w:tcW w:w="233" w:type="pct"/>
            <w:vMerge w:val="continue"/>
            <w:vAlign w:val="center"/>
          </w:tcPr>
          <w:p w14:paraId="58C7F61B">
            <w:pPr>
              <w:widowControl/>
              <w:jc w:val="left"/>
              <w:rPr>
                <w:rFonts w:ascii="宋体" w:hAnsi="宋体" w:cs="宋体"/>
                <w:color w:val="000000"/>
                <w:kern w:val="0"/>
                <w:szCs w:val="21"/>
              </w:rPr>
            </w:pPr>
          </w:p>
        </w:tc>
        <w:tc>
          <w:tcPr>
            <w:tcW w:w="782" w:type="pct"/>
            <w:shd w:val="clear" w:color="auto" w:fill="auto"/>
            <w:vAlign w:val="center"/>
          </w:tcPr>
          <w:p w14:paraId="7A9ABED3">
            <w:pPr>
              <w:widowControl/>
              <w:jc w:val="center"/>
              <w:rPr>
                <w:rFonts w:ascii="宋体" w:hAnsi="宋体" w:cs="宋体"/>
                <w:color w:val="000000"/>
                <w:kern w:val="0"/>
                <w:szCs w:val="21"/>
              </w:rPr>
            </w:pPr>
            <w:r>
              <w:rPr>
                <w:rFonts w:hint="eastAsia" w:ascii="宋体" w:hAnsi="宋体" w:cs="宋体"/>
                <w:color w:val="000000"/>
                <w:kern w:val="0"/>
                <w:szCs w:val="21"/>
              </w:rPr>
              <w:t>每年等保测评前提供1份《等保差距分析报告及整改方案》</w:t>
            </w:r>
          </w:p>
        </w:tc>
      </w:tr>
      <w:tr w14:paraId="5F00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 w:type="pct"/>
            <w:shd w:val="clear" w:color="auto" w:fill="auto"/>
            <w:vAlign w:val="center"/>
          </w:tcPr>
          <w:p w14:paraId="0758022D">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335" w:type="pct"/>
            <w:vMerge w:val="continue"/>
            <w:vAlign w:val="center"/>
          </w:tcPr>
          <w:p w14:paraId="75FA43A3">
            <w:pPr>
              <w:widowControl/>
              <w:jc w:val="left"/>
              <w:rPr>
                <w:rFonts w:ascii="宋体" w:hAnsi="宋体" w:cs="宋体"/>
                <w:color w:val="000000"/>
                <w:kern w:val="0"/>
                <w:szCs w:val="21"/>
              </w:rPr>
            </w:pPr>
          </w:p>
        </w:tc>
        <w:tc>
          <w:tcPr>
            <w:tcW w:w="401" w:type="pct"/>
            <w:shd w:val="clear" w:color="auto" w:fill="auto"/>
            <w:vAlign w:val="center"/>
          </w:tcPr>
          <w:p w14:paraId="0D9B422D">
            <w:pPr>
              <w:widowControl/>
              <w:jc w:val="center"/>
              <w:rPr>
                <w:rFonts w:ascii="宋体" w:hAnsi="宋体" w:cs="宋体"/>
                <w:color w:val="000000"/>
                <w:kern w:val="0"/>
                <w:szCs w:val="21"/>
              </w:rPr>
            </w:pPr>
            <w:r>
              <w:rPr>
                <w:rFonts w:hint="eastAsia" w:ascii="宋体" w:hAnsi="宋体" w:cs="宋体"/>
                <w:color w:val="000000"/>
                <w:kern w:val="0"/>
                <w:szCs w:val="21"/>
              </w:rPr>
              <w:t>能力成熟度</w:t>
            </w:r>
          </w:p>
        </w:tc>
        <w:tc>
          <w:tcPr>
            <w:tcW w:w="455" w:type="pct"/>
            <w:shd w:val="clear" w:color="auto" w:fill="auto"/>
            <w:vAlign w:val="center"/>
          </w:tcPr>
          <w:p w14:paraId="0D586D7C">
            <w:pPr>
              <w:widowControl/>
              <w:jc w:val="center"/>
              <w:rPr>
                <w:rFonts w:ascii="宋体" w:hAnsi="宋体" w:cs="宋体"/>
                <w:color w:val="000000"/>
                <w:kern w:val="0"/>
                <w:szCs w:val="21"/>
              </w:rPr>
            </w:pPr>
            <w:r>
              <w:rPr>
                <w:rFonts w:hint="eastAsia" w:ascii="宋体" w:hAnsi="宋体" w:cs="宋体"/>
                <w:color w:val="000000"/>
                <w:kern w:val="0"/>
                <w:szCs w:val="21"/>
              </w:rPr>
              <w:t>能力成熟度评估及优化</w:t>
            </w:r>
          </w:p>
        </w:tc>
        <w:tc>
          <w:tcPr>
            <w:tcW w:w="2187" w:type="pct"/>
            <w:shd w:val="clear" w:color="auto" w:fill="auto"/>
            <w:vAlign w:val="center"/>
          </w:tcPr>
          <w:p w14:paraId="2CE8E5C9">
            <w:pPr>
              <w:widowControl/>
              <w:rPr>
                <w:rFonts w:ascii="宋体" w:hAnsi="宋体" w:cs="宋体"/>
                <w:color w:val="000000"/>
                <w:kern w:val="0"/>
                <w:szCs w:val="21"/>
              </w:rPr>
            </w:pPr>
            <w:r>
              <w:rPr>
                <w:rFonts w:hint="eastAsia" w:ascii="宋体" w:hAnsi="宋体" w:cs="宋体"/>
                <w:color w:val="000000"/>
                <w:kern w:val="0"/>
                <w:szCs w:val="21"/>
              </w:rPr>
              <w:t>为了确保服务质量，每年开展一次安全能力成熟度评估及优化工作，提供安全能力评估、安全流程优化、安全制度优化、安全工具优化和运营人员优化等服务。</w:t>
            </w:r>
          </w:p>
        </w:tc>
        <w:tc>
          <w:tcPr>
            <w:tcW w:w="355" w:type="pct"/>
            <w:vMerge w:val="continue"/>
            <w:vAlign w:val="center"/>
          </w:tcPr>
          <w:p w14:paraId="3120870B">
            <w:pPr>
              <w:widowControl/>
              <w:jc w:val="left"/>
              <w:rPr>
                <w:rFonts w:ascii="宋体" w:hAnsi="宋体" w:cs="宋体"/>
                <w:color w:val="000000"/>
                <w:kern w:val="0"/>
                <w:szCs w:val="21"/>
              </w:rPr>
            </w:pPr>
          </w:p>
        </w:tc>
        <w:tc>
          <w:tcPr>
            <w:tcW w:w="233" w:type="pct"/>
            <w:vMerge w:val="continue"/>
            <w:vAlign w:val="center"/>
          </w:tcPr>
          <w:p w14:paraId="07D64EDD">
            <w:pPr>
              <w:widowControl/>
              <w:jc w:val="left"/>
              <w:rPr>
                <w:rFonts w:ascii="宋体" w:hAnsi="宋体" w:cs="宋体"/>
                <w:color w:val="000000"/>
                <w:kern w:val="0"/>
                <w:szCs w:val="21"/>
              </w:rPr>
            </w:pPr>
          </w:p>
        </w:tc>
        <w:tc>
          <w:tcPr>
            <w:tcW w:w="782" w:type="pct"/>
            <w:shd w:val="clear" w:color="auto" w:fill="auto"/>
            <w:vAlign w:val="center"/>
          </w:tcPr>
          <w:p w14:paraId="0E9C21DC">
            <w:pPr>
              <w:widowControl/>
              <w:jc w:val="center"/>
              <w:rPr>
                <w:rFonts w:ascii="宋体" w:hAnsi="宋体" w:cs="宋体"/>
                <w:color w:val="000000"/>
                <w:kern w:val="0"/>
                <w:szCs w:val="21"/>
              </w:rPr>
            </w:pPr>
            <w:r>
              <w:rPr>
                <w:rFonts w:hint="eastAsia" w:ascii="宋体" w:hAnsi="宋体" w:cs="宋体"/>
                <w:color w:val="000000"/>
                <w:kern w:val="0"/>
                <w:szCs w:val="21"/>
              </w:rPr>
              <w:t>每年度完成能力评估工作后3个工作日提供1份《能力成熟度评估及优化方案》</w:t>
            </w:r>
          </w:p>
        </w:tc>
      </w:tr>
      <w:tr w14:paraId="3CAD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9" w:type="pct"/>
            <w:shd w:val="clear" w:color="auto" w:fill="auto"/>
            <w:vAlign w:val="center"/>
          </w:tcPr>
          <w:p w14:paraId="65E58782">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335" w:type="pct"/>
            <w:vMerge w:val="continue"/>
            <w:vAlign w:val="center"/>
          </w:tcPr>
          <w:p w14:paraId="16FD4AAC">
            <w:pPr>
              <w:widowControl/>
              <w:jc w:val="left"/>
              <w:rPr>
                <w:rFonts w:ascii="宋体" w:hAnsi="宋体" w:cs="宋体"/>
                <w:color w:val="000000"/>
                <w:kern w:val="0"/>
                <w:szCs w:val="21"/>
              </w:rPr>
            </w:pPr>
          </w:p>
        </w:tc>
        <w:tc>
          <w:tcPr>
            <w:tcW w:w="401" w:type="pct"/>
            <w:shd w:val="clear" w:color="auto" w:fill="auto"/>
            <w:vAlign w:val="center"/>
          </w:tcPr>
          <w:p w14:paraId="2C2F0890">
            <w:pPr>
              <w:widowControl/>
              <w:jc w:val="center"/>
              <w:rPr>
                <w:rFonts w:ascii="宋体" w:hAnsi="宋体" w:cs="宋体"/>
                <w:color w:val="000000"/>
                <w:kern w:val="0"/>
                <w:szCs w:val="21"/>
              </w:rPr>
            </w:pPr>
            <w:r>
              <w:rPr>
                <w:rFonts w:hint="eastAsia" w:ascii="宋体" w:hAnsi="宋体" w:cs="宋体"/>
                <w:color w:val="000000"/>
                <w:kern w:val="0"/>
                <w:szCs w:val="21"/>
              </w:rPr>
              <w:t>重保服务</w:t>
            </w:r>
          </w:p>
        </w:tc>
        <w:tc>
          <w:tcPr>
            <w:tcW w:w="455" w:type="pct"/>
            <w:shd w:val="clear" w:color="auto" w:fill="auto"/>
            <w:vAlign w:val="center"/>
          </w:tcPr>
          <w:p w14:paraId="30412AEC">
            <w:pPr>
              <w:widowControl/>
              <w:jc w:val="center"/>
              <w:rPr>
                <w:rFonts w:ascii="宋体" w:hAnsi="宋体" w:cs="宋体"/>
                <w:color w:val="000000"/>
                <w:kern w:val="0"/>
                <w:szCs w:val="21"/>
              </w:rPr>
            </w:pPr>
            <w:r>
              <w:rPr>
                <w:rFonts w:hint="eastAsia" w:ascii="宋体" w:hAnsi="宋体" w:cs="宋体"/>
                <w:color w:val="000000"/>
                <w:kern w:val="0"/>
                <w:szCs w:val="21"/>
              </w:rPr>
              <w:t>重要时期安全保障服务</w:t>
            </w:r>
          </w:p>
        </w:tc>
        <w:tc>
          <w:tcPr>
            <w:tcW w:w="2187" w:type="pct"/>
            <w:shd w:val="clear" w:color="auto" w:fill="auto"/>
            <w:vAlign w:val="center"/>
          </w:tcPr>
          <w:p w14:paraId="63EC0D1D">
            <w:pPr>
              <w:widowControl/>
              <w:rPr>
                <w:rFonts w:ascii="宋体" w:hAnsi="宋体" w:cs="宋体"/>
                <w:color w:val="000000"/>
                <w:kern w:val="0"/>
                <w:szCs w:val="21"/>
              </w:rPr>
            </w:pPr>
            <w:r>
              <w:rPr>
                <w:rFonts w:hint="eastAsia" w:ascii="宋体" w:hAnsi="宋体" w:cs="宋体"/>
                <w:color w:val="auto"/>
                <w:kern w:val="0"/>
                <w:szCs w:val="21"/>
              </w:rPr>
              <w:t>攻防</w:t>
            </w:r>
            <w:r>
              <w:rPr>
                <w:rFonts w:hint="eastAsia" w:ascii="宋体" w:hAnsi="宋体" w:cs="宋体"/>
                <w:color w:val="auto"/>
                <w:kern w:val="0"/>
                <w:szCs w:val="21"/>
                <w:lang w:val="en-US" w:eastAsia="zh-CN"/>
              </w:rPr>
              <w:t>演练</w:t>
            </w:r>
            <w:r>
              <w:rPr>
                <w:rFonts w:hint="eastAsia" w:ascii="宋体" w:hAnsi="宋体" w:cs="宋体"/>
                <w:color w:val="auto"/>
                <w:kern w:val="0"/>
                <w:szCs w:val="21"/>
              </w:rPr>
              <w:t>、两会、国庆、春节等重保期，除 2 人现场值守外，需提供远程技术支撑团队（不少于 3 人），值守期间每 2 小时提交 1 次安全监测简报，重保结束后 1 个工作日内提交总结报告。</w:t>
            </w:r>
          </w:p>
        </w:tc>
        <w:tc>
          <w:tcPr>
            <w:tcW w:w="355" w:type="pct"/>
            <w:vMerge w:val="continue"/>
            <w:vAlign w:val="center"/>
          </w:tcPr>
          <w:p w14:paraId="494E3C57">
            <w:pPr>
              <w:widowControl/>
              <w:jc w:val="left"/>
              <w:rPr>
                <w:rFonts w:ascii="宋体" w:hAnsi="宋体" w:cs="宋体"/>
                <w:color w:val="000000"/>
                <w:kern w:val="0"/>
                <w:szCs w:val="21"/>
              </w:rPr>
            </w:pPr>
          </w:p>
        </w:tc>
        <w:tc>
          <w:tcPr>
            <w:tcW w:w="233" w:type="pct"/>
            <w:vMerge w:val="continue"/>
            <w:vAlign w:val="center"/>
          </w:tcPr>
          <w:p w14:paraId="716DC03E">
            <w:pPr>
              <w:widowControl/>
              <w:jc w:val="left"/>
              <w:rPr>
                <w:rFonts w:ascii="宋体" w:hAnsi="宋体" w:cs="宋体"/>
                <w:color w:val="000000"/>
                <w:kern w:val="0"/>
                <w:szCs w:val="21"/>
              </w:rPr>
            </w:pPr>
          </w:p>
        </w:tc>
        <w:tc>
          <w:tcPr>
            <w:tcW w:w="782" w:type="pct"/>
            <w:shd w:val="clear" w:color="auto" w:fill="auto"/>
            <w:vAlign w:val="center"/>
          </w:tcPr>
          <w:p w14:paraId="2A824FFB">
            <w:pPr>
              <w:widowControl/>
              <w:jc w:val="center"/>
              <w:rPr>
                <w:rFonts w:ascii="宋体" w:hAnsi="宋体" w:cs="宋体"/>
                <w:color w:val="000000"/>
                <w:kern w:val="0"/>
                <w:szCs w:val="21"/>
              </w:rPr>
            </w:pPr>
            <w:r>
              <w:rPr>
                <w:rFonts w:hint="eastAsia" w:ascii="宋体" w:hAnsi="宋体" w:cs="宋体"/>
                <w:color w:val="000000"/>
                <w:kern w:val="0"/>
                <w:szCs w:val="21"/>
              </w:rPr>
              <w:t>重保期间安排2人值守并提供1份《重保服务方案》</w:t>
            </w:r>
          </w:p>
        </w:tc>
      </w:tr>
      <w:tr w14:paraId="4285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49" w:type="pct"/>
            <w:shd w:val="clear" w:color="auto" w:fill="auto"/>
            <w:vAlign w:val="center"/>
          </w:tcPr>
          <w:p w14:paraId="512AEE0D">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335" w:type="pct"/>
            <w:vMerge w:val="continue"/>
            <w:vAlign w:val="center"/>
          </w:tcPr>
          <w:p w14:paraId="0D440C79">
            <w:pPr>
              <w:widowControl/>
              <w:jc w:val="left"/>
              <w:rPr>
                <w:rFonts w:ascii="宋体" w:hAnsi="宋体" w:cs="宋体"/>
                <w:color w:val="000000"/>
                <w:kern w:val="0"/>
                <w:szCs w:val="21"/>
              </w:rPr>
            </w:pPr>
          </w:p>
        </w:tc>
        <w:tc>
          <w:tcPr>
            <w:tcW w:w="401" w:type="pct"/>
            <w:shd w:val="clear" w:color="auto" w:fill="auto"/>
            <w:vAlign w:val="center"/>
          </w:tcPr>
          <w:p w14:paraId="481C0404">
            <w:pPr>
              <w:widowControl/>
              <w:jc w:val="center"/>
              <w:rPr>
                <w:rFonts w:ascii="宋体" w:hAnsi="宋体" w:cs="宋体"/>
                <w:color w:val="000000"/>
                <w:kern w:val="0"/>
                <w:szCs w:val="21"/>
              </w:rPr>
            </w:pPr>
            <w:r>
              <w:rPr>
                <w:rFonts w:hint="eastAsia" w:ascii="宋体" w:hAnsi="宋体" w:cs="宋体"/>
                <w:color w:val="000000"/>
                <w:kern w:val="0"/>
                <w:szCs w:val="21"/>
              </w:rPr>
              <w:t>风险评估</w:t>
            </w:r>
          </w:p>
        </w:tc>
        <w:tc>
          <w:tcPr>
            <w:tcW w:w="455" w:type="pct"/>
            <w:shd w:val="clear" w:color="auto" w:fill="auto"/>
            <w:vAlign w:val="center"/>
          </w:tcPr>
          <w:p w14:paraId="500D9267">
            <w:pPr>
              <w:widowControl/>
              <w:jc w:val="center"/>
              <w:rPr>
                <w:rFonts w:ascii="宋体" w:hAnsi="宋体" w:cs="宋体"/>
                <w:color w:val="000000"/>
                <w:kern w:val="0"/>
                <w:szCs w:val="21"/>
              </w:rPr>
            </w:pPr>
            <w:r>
              <w:rPr>
                <w:rFonts w:hint="eastAsia" w:ascii="宋体" w:hAnsi="宋体" w:cs="宋体"/>
                <w:color w:val="000000"/>
                <w:kern w:val="0"/>
                <w:szCs w:val="21"/>
              </w:rPr>
              <w:t>安全风险评估服务</w:t>
            </w:r>
          </w:p>
        </w:tc>
        <w:tc>
          <w:tcPr>
            <w:tcW w:w="2187" w:type="pct"/>
            <w:shd w:val="clear" w:color="auto" w:fill="auto"/>
            <w:vAlign w:val="center"/>
          </w:tcPr>
          <w:p w14:paraId="3029C2CB">
            <w:pPr>
              <w:widowControl/>
              <w:rPr>
                <w:rFonts w:hint="eastAsia" w:ascii="宋体" w:hAnsi="宋体" w:cs="宋体"/>
                <w:color w:val="000000"/>
                <w:kern w:val="0"/>
                <w:szCs w:val="21"/>
              </w:rPr>
            </w:pPr>
            <w:r>
              <w:rPr>
                <w:rFonts w:hint="eastAsia" w:ascii="宋体" w:hAnsi="宋体" w:cs="宋体"/>
                <w:color w:val="000000"/>
                <w:kern w:val="0"/>
                <w:szCs w:val="21"/>
              </w:rPr>
              <w:t>每</w:t>
            </w:r>
            <w:r>
              <w:rPr>
                <w:rFonts w:hint="eastAsia" w:ascii="宋体" w:hAnsi="宋体" w:cs="宋体"/>
                <w:color w:val="000000"/>
                <w:kern w:val="0"/>
                <w:szCs w:val="21"/>
                <w:lang w:val="en-US" w:eastAsia="zh-CN"/>
              </w:rPr>
              <w:t>季</w:t>
            </w:r>
            <w:r>
              <w:rPr>
                <w:rFonts w:hint="eastAsia" w:ascii="宋体" w:hAnsi="宋体" w:cs="宋体"/>
                <w:color w:val="000000"/>
                <w:kern w:val="0"/>
                <w:szCs w:val="21"/>
              </w:rPr>
              <w:t>开展1次系统性的信息安全评估，全面识别、评估和量化招标人面临的潜在威胁、漏洞和可能带来的负面影响，并支撑招标人有针对性的采取安全措施和策略，以减小风险的发生概率和影响程度，从而确保招标人信息系统的安全稳定运行。</w:t>
            </w:r>
          </w:p>
        </w:tc>
        <w:tc>
          <w:tcPr>
            <w:tcW w:w="355" w:type="pct"/>
            <w:vMerge w:val="continue"/>
            <w:vAlign w:val="center"/>
          </w:tcPr>
          <w:p w14:paraId="6557B2B7">
            <w:pPr>
              <w:widowControl/>
              <w:jc w:val="left"/>
              <w:rPr>
                <w:rFonts w:ascii="宋体" w:hAnsi="宋体" w:cs="宋体"/>
                <w:color w:val="000000"/>
                <w:kern w:val="0"/>
                <w:szCs w:val="21"/>
              </w:rPr>
            </w:pPr>
          </w:p>
        </w:tc>
        <w:tc>
          <w:tcPr>
            <w:tcW w:w="233" w:type="pct"/>
            <w:vMerge w:val="continue"/>
            <w:vAlign w:val="center"/>
          </w:tcPr>
          <w:p w14:paraId="4B3A9853">
            <w:pPr>
              <w:widowControl/>
              <w:jc w:val="left"/>
              <w:rPr>
                <w:rFonts w:ascii="宋体" w:hAnsi="宋体" w:cs="宋体"/>
                <w:color w:val="000000"/>
                <w:kern w:val="0"/>
                <w:szCs w:val="21"/>
              </w:rPr>
            </w:pPr>
          </w:p>
        </w:tc>
        <w:tc>
          <w:tcPr>
            <w:tcW w:w="782" w:type="pct"/>
            <w:shd w:val="clear" w:color="auto" w:fill="auto"/>
            <w:vAlign w:val="center"/>
          </w:tcPr>
          <w:p w14:paraId="07F1503D">
            <w:pPr>
              <w:widowControl/>
              <w:jc w:val="center"/>
              <w:rPr>
                <w:rFonts w:ascii="宋体" w:hAnsi="宋体" w:cs="宋体"/>
                <w:color w:val="000000"/>
                <w:kern w:val="0"/>
                <w:szCs w:val="21"/>
              </w:rPr>
            </w:pPr>
            <w:r>
              <w:rPr>
                <w:rFonts w:hint="eastAsia" w:ascii="宋体" w:hAnsi="宋体" w:cs="宋体"/>
                <w:color w:val="000000"/>
                <w:kern w:val="0"/>
                <w:szCs w:val="21"/>
              </w:rPr>
              <w:t>每</w:t>
            </w:r>
            <w:r>
              <w:rPr>
                <w:rFonts w:hint="eastAsia" w:ascii="宋体" w:hAnsi="宋体" w:cs="宋体"/>
                <w:color w:val="000000"/>
                <w:kern w:val="0"/>
                <w:szCs w:val="21"/>
                <w:lang w:val="en-US" w:eastAsia="zh-CN"/>
              </w:rPr>
              <w:t>季</w:t>
            </w:r>
            <w:r>
              <w:rPr>
                <w:rFonts w:hint="eastAsia" w:ascii="宋体" w:hAnsi="宋体" w:cs="宋体"/>
                <w:color w:val="000000"/>
                <w:kern w:val="0"/>
                <w:szCs w:val="21"/>
              </w:rPr>
              <w:t>开展安全风险评估后3个工作日内提供1份《安全风险评估报告》并提出相应整改建议</w:t>
            </w:r>
          </w:p>
        </w:tc>
      </w:tr>
      <w:tr w14:paraId="63B3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49" w:type="pct"/>
            <w:shd w:val="clear" w:color="auto" w:fill="auto"/>
            <w:vAlign w:val="center"/>
          </w:tcPr>
          <w:p w14:paraId="67A8C552">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335" w:type="pct"/>
            <w:vMerge w:val="continue"/>
            <w:vAlign w:val="center"/>
          </w:tcPr>
          <w:p w14:paraId="5A19ACAB">
            <w:pPr>
              <w:widowControl/>
              <w:jc w:val="left"/>
              <w:rPr>
                <w:rFonts w:ascii="宋体" w:hAnsi="宋体" w:cs="宋体"/>
                <w:color w:val="000000"/>
                <w:kern w:val="0"/>
                <w:szCs w:val="21"/>
              </w:rPr>
            </w:pPr>
          </w:p>
        </w:tc>
        <w:tc>
          <w:tcPr>
            <w:tcW w:w="401" w:type="pct"/>
            <w:shd w:val="clear" w:color="auto" w:fill="auto"/>
            <w:vAlign w:val="center"/>
          </w:tcPr>
          <w:p w14:paraId="0D213CC5">
            <w:pPr>
              <w:widowControl/>
              <w:jc w:val="center"/>
              <w:rPr>
                <w:rFonts w:ascii="宋体" w:hAnsi="宋体" w:cs="宋体"/>
                <w:color w:val="000000"/>
                <w:kern w:val="0"/>
                <w:szCs w:val="21"/>
              </w:rPr>
            </w:pPr>
            <w:r>
              <w:rPr>
                <w:rFonts w:hint="eastAsia" w:ascii="宋体" w:hAnsi="宋体" w:cs="宋体"/>
                <w:color w:val="000000"/>
                <w:kern w:val="0"/>
                <w:szCs w:val="21"/>
              </w:rPr>
              <w:t>系统检测</w:t>
            </w:r>
          </w:p>
        </w:tc>
        <w:tc>
          <w:tcPr>
            <w:tcW w:w="455" w:type="pct"/>
            <w:shd w:val="clear" w:color="auto" w:fill="auto"/>
            <w:vAlign w:val="center"/>
          </w:tcPr>
          <w:p w14:paraId="5734AA71">
            <w:pPr>
              <w:widowControl/>
              <w:jc w:val="center"/>
              <w:rPr>
                <w:rFonts w:ascii="宋体" w:hAnsi="宋体" w:cs="宋体"/>
                <w:color w:val="000000"/>
                <w:kern w:val="0"/>
                <w:szCs w:val="21"/>
              </w:rPr>
            </w:pPr>
            <w:r>
              <w:rPr>
                <w:rFonts w:hint="eastAsia" w:ascii="宋体" w:hAnsi="宋体" w:cs="宋体"/>
                <w:color w:val="000000"/>
                <w:kern w:val="0"/>
                <w:szCs w:val="21"/>
              </w:rPr>
              <w:t>系统安全检测服务</w:t>
            </w:r>
          </w:p>
        </w:tc>
        <w:tc>
          <w:tcPr>
            <w:tcW w:w="2187" w:type="pct"/>
            <w:shd w:val="clear" w:color="auto" w:fill="auto"/>
            <w:vAlign w:val="center"/>
          </w:tcPr>
          <w:p w14:paraId="6A289F7F">
            <w:pPr>
              <w:widowControl/>
              <w:rPr>
                <w:rFonts w:hint="eastAsia" w:ascii="宋体" w:hAnsi="宋体" w:cs="宋体"/>
                <w:color w:val="000000"/>
                <w:kern w:val="0"/>
                <w:szCs w:val="21"/>
              </w:rPr>
            </w:pPr>
            <w:r>
              <w:rPr>
                <w:rFonts w:hint="eastAsia" w:ascii="宋体" w:hAnsi="宋体" w:cs="宋体"/>
                <w:color w:val="000000"/>
                <w:kern w:val="0"/>
                <w:szCs w:val="21"/>
              </w:rPr>
              <w:t>新系统上线前，开展安全检测，包括渗透测试、漏洞扫描、代码审计等，对发现的安全隐患，指导修复并复测，确保信息系统所有安全隐患修复完成，保障系统安全后再上线。为招标人系统上线落实完善的管理流程。</w:t>
            </w:r>
          </w:p>
        </w:tc>
        <w:tc>
          <w:tcPr>
            <w:tcW w:w="355" w:type="pct"/>
            <w:vMerge w:val="continue"/>
            <w:vAlign w:val="center"/>
          </w:tcPr>
          <w:p w14:paraId="2D68F137">
            <w:pPr>
              <w:widowControl/>
              <w:jc w:val="left"/>
              <w:rPr>
                <w:rFonts w:ascii="宋体" w:hAnsi="宋体" w:cs="宋体"/>
                <w:color w:val="000000"/>
                <w:kern w:val="0"/>
                <w:szCs w:val="21"/>
              </w:rPr>
            </w:pPr>
          </w:p>
        </w:tc>
        <w:tc>
          <w:tcPr>
            <w:tcW w:w="233" w:type="pct"/>
            <w:vMerge w:val="continue"/>
            <w:vAlign w:val="center"/>
          </w:tcPr>
          <w:p w14:paraId="13DE2DA1">
            <w:pPr>
              <w:widowControl/>
              <w:jc w:val="left"/>
              <w:rPr>
                <w:rFonts w:ascii="宋体" w:hAnsi="宋体" w:cs="宋体"/>
                <w:color w:val="000000"/>
                <w:kern w:val="0"/>
                <w:szCs w:val="21"/>
              </w:rPr>
            </w:pPr>
          </w:p>
        </w:tc>
        <w:tc>
          <w:tcPr>
            <w:tcW w:w="782" w:type="pct"/>
            <w:shd w:val="clear" w:color="auto" w:fill="auto"/>
            <w:vAlign w:val="center"/>
          </w:tcPr>
          <w:p w14:paraId="217E246D">
            <w:pPr>
              <w:widowControl/>
              <w:jc w:val="center"/>
              <w:rPr>
                <w:rFonts w:ascii="宋体" w:hAnsi="宋体" w:cs="宋体"/>
                <w:color w:val="000000"/>
                <w:kern w:val="0"/>
                <w:szCs w:val="21"/>
              </w:rPr>
            </w:pPr>
            <w:r>
              <w:rPr>
                <w:rFonts w:hint="eastAsia" w:ascii="宋体" w:hAnsi="宋体" w:cs="宋体"/>
                <w:color w:val="000000"/>
                <w:kern w:val="0"/>
                <w:szCs w:val="21"/>
              </w:rPr>
              <w:t>新系统上线前提供《系统安全检测报告》并提出相应整改建议</w:t>
            </w:r>
          </w:p>
        </w:tc>
      </w:tr>
      <w:tr w14:paraId="37A5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 w:type="pct"/>
            <w:shd w:val="clear" w:color="auto" w:fill="auto"/>
            <w:vAlign w:val="center"/>
          </w:tcPr>
          <w:p w14:paraId="5177EDF7">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335" w:type="pct"/>
            <w:vMerge w:val="continue"/>
            <w:vAlign w:val="center"/>
          </w:tcPr>
          <w:p w14:paraId="6255D87A">
            <w:pPr>
              <w:widowControl/>
              <w:jc w:val="left"/>
              <w:rPr>
                <w:rFonts w:ascii="宋体" w:hAnsi="宋体" w:cs="宋体"/>
                <w:color w:val="000000"/>
                <w:kern w:val="0"/>
                <w:szCs w:val="21"/>
              </w:rPr>
            </w:pPr>
          </w:p>
        </w:tc>
        <w:tc>
          <w:tcPr>
            <w:tcW w:w="401" w:type="pct"/>
            <w:shd w:val="clear" w:color="auto" w:fill="auto"/>
            <w:vAlign w:val="center"/>
          </w:tcPr>
          <w:p w14:paraId="38E7CE5B">
            <w:pPr>
              <w:widowControl/>
              <w:jc w:val="center"/>
              <w:rPr>
                <w:rFonts w:ascii="宋体" w:hAnsi="宋体" w:cs="宋体"/>
                <w:color w:val="000000"/>
                <w:kern w:val="0"/>
                <w:szCs w:val="21"/>
              </w:rPr>
            </w:pPr>
            <w:r>
              <w:rPr>
                <w:rFonts w:hint="eastAsia" w:ascii="宋体" w:hAnsi="宋体" w:cs="宋体"/>
                <w:color w:val="000000"/>
                <w:kern w:val="0"/>
                <w:szCs w:val="21"/>
              </w:rPr>
              <w:t>攻防演练</w:t>
            </w:r>
          </w:p>
        </w:tc>
        <w:tc>
          <w:tcPr>
            <w:tcW w:w="455" w:type="pct"/>
            <w:shd w:val="clear" w:color="auto" w:fill="auto"/>
            <w:vAlign w:val="center"/>
          </w:tcPr>
          <w:p w14:paraId="7A5D298B">
            <w:pPr>
              <w:widowControl/>
              <w:jc w:val="center"/>
              <w:rPr>
                <w:rFonts w:ascii="宋体" w:hAnsi="宋体" w:cs="宋体"/>
                <w:color w:val="000000"/>
                <w:kern w:val="0"/>
                <w:szCs w:val="21"/>
              </w:rPr>
            </w:pPr>
            <w:r>
              <w:rPr>
                <w:rFonts w:hint="eastAsia" w:ascii="宋体" w:hAnsi="宋体" w:cs="宋体"/>
                <w:color w:val="000000"/>
                <w:kern w:val="0"/>
                <w:szCs w:val="21"/>
              </w:rPr>
              <w:t>攻防演练服务</w:t>
            </w:r>
          </w:p>
        </w:tc>
        <w:tc>
          <w:tcPr>
            <w:tcW w:w="2187" w:type="pct"/>
            <w:shd w:val="clear" w:color="auto" w:fill="auto"/>
            <w:vAlign w:val="center"/>
          </w:tcPr>
          <w:p w14:paraId="64876FA2">
            <w:pPr>
              <w:widowControl/>
              <w:rPr>
                <w:rFonts w:hint="eastAsia" w:ascii="宋体" w:hAnsi="宋体" w:cs="宋体"/>
                <w:color w:val="000000"/>
                <w:kern w:val="0"/>
                <w:szCs w:val="21"/>
              </w:rPr>
            </w:pPr>
            <w:r>
              <w:rPr>
                <w:rFonts w:hint="eastAsia" w:ascii="宋体" w:hAnsi="宋体" w:cs="宋体"/>
                <w:color w:val="000000"/>
                <w:kern w:val="0"/>
                <w:szCs w:val="21"/>
              </w:rPr>
              <w:t>每</w:t>
            </w:r>
            <w:r>
              <w:rPr>
                <w:rFonts w:hint="eastAsia" w:ascii="宋体" w:hAnsi="宋体" w:cs="宋体"/>
                <w:color w:val="000000"/>
                <w:kern w:val="0"/>
                <w:szCs w:val="21"/>
                <w:lang w:val="en-US" w:eastAsia="zh-CN"/>
              </w:rPr>
              <w:t>季</w:t>
            </w:r>
            <w:r>
              <w:rPr>
                <w:rFonts w:hint="eastAsia" w:ascii="宋体" w:hAnsi="宋体" w:cs="宋体"/>
                <w:color w:val="000000"/>
                <w:kern w:val="0"/>
                <w:szCs w:val="21"/>
              </w:rPr>
              <w:t>为招标人组织一次单位内的实战化攻防演练服务，提供演练平台和攻击团队，组织攻防演练行动。</w:t>
            </w:r>
          </w:p>
        </w:tc>
        <w:tc>
          <w:tcPr>
            <w:tcW w:w="355" w:type="pct"/>
            <w:vMerge w:val="continue"/>
            <w:vAlign w:val="center"/>
          </w:tcPr>
          <w:p w14:paraId="5D93167A">
            <w:pPr>
              <w:widowControl/>
              <w:jc w:val="left"/>
              <w:rPr>
                <w:rFonts w:ascii="宋体" w:hAnsi="宋体" w:cs="宋体"/>
                <w:color w:val="000000"/>
                <w:kern w:val="0"/>
                <w:szCs w:val="21"/>
              </w:rPr>
            </w:pPr>
          </w:p>
        </w:tc>
        <w:tc>
          <w:tcPr>
            <w:tcW w:w="233" w:type="pct"/>
            <w:vMerge w:val="continue"/>
            <w:vAlign w:val="center"/>
          </w:tcPr>
          <w:p w14:paraId="2F1ADA2C">
            <w:pPr>
              <w:widowControl/>
              <w:jc w:val="left"/>
              <w:rPr>
                <w:rFonts w:ascii="宋体" w:hAnsi="宋体" w:cs="宋体"/>
                <w:color w:val="000000"/>
                <w:kern w:val="0"/>
                <w:szCs w:val="21"/>
              </w:rPr>
            </w:pPr>
          </w:p>
        </w:tc>
        <w:tc>
          <w:tcPr>
            <w:tcW w:w="782" w:type="pct"/>
            <w:shd w:val="clear" w:color="auto" w:fill="auto"/>
            <w:vAlign w:val="center"/>
          </w:tcPr>
          <w:p w14:paraId="06A4427F">
            <w:pPr>
              <w:widowControl/>
              <w:jc w:val="center"/>
              <w:rPr>
                <w:rFonts w:ascii="宋体" w:hAnsi="宋体" w:cs="宋体"/>
                <w:color w:val="000000"/>
                <w:kern w:val="0"/>
                <w:szCs w:val="21"/>
              </w:rPr>
            </w:pPr>
            <w:r>
              <w:rPr>
                <w:rFonts w:hint="eastAsia" w:ascii="宋体" w:hAnsi="宋体" w:cs="宋体"/>
                <w:color w:val="000000"/>
                <w:kern w:val="0"/>
                <w:szCs w:val="21"/>
              </w:rPr>
              <w:t>每</w:t>
            </w:r>
            <w:r>
              <w:rPr>
                <w:rFonts w:hint="eastAsia" w:ascii="宋体" w:hAnsi="宋体" w:cs="宋体"/>
                <w:color w:val="000000"/>
                <w:kern w:val="0"/>
                <w:szCs w:val="21"/>
                <w:lang w:val="en-US" w:eastAsia="zh-CN"/>
              </w:rPr>
              <w:t>季</w:t>
            </w:r>
            <w:r>
              <w:rPr>
                <w:rFonts w:hint="eastAsia" w:ascii="宋体" w:hAnsi="宋体" w:cs="宋体"/>
                <w:color w:val="000000"/>
                <w:kern w:val="0"/>
                <w:szCs w:val="21"/>
              </w:rPr>
              <w:t>根据招标人要求组织攻防演练，提供1份《攻防演练方案》并组织演练活动</w:t>
            </w:r>
          </w:p>
        </w:tc>
      </w:tr>
      <w:tr w14:paraId="44F8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 w:type="pct"/>
            <w:shd w:val="clear" w:color="auto" w:fill="auto"/>
            <w:vAlign w:val="center"/>
          </w:tcPr>
          <w:p w14:paraId="34F33948">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16</w:t>
            </w:r>
          </w:p>
        </w:tc>
        <w:tc>
          <w:tcPr>
            <w:tcW w:w="335" w:type="pct"/>
            <w:vMerge w:val="continue"/>
            <w:vAlign w:val="center"/>
          </w:tcPr>
          <w:p w14:paraId="05398F01">
            <w:pPr>
              <w:widowControl/>
              <w:jc w:val="left"/>
              <w:rPr>
                <w:rFonts w:ascii="宋体" w:hAnsi="宋体" w:cs="宋体"/>
                <w:color w:val="000000"/>
                <w:kern w:val="0"/>
                <w:szCs w:val="21"/>
              </w:rPr>
            </w:pPr>
          </w:p>
        </w:tc>
        <w:tc>
          <w:tcPr>
            <w:tcW w:w="401" w:type="pct"/>
            <w:vMerge w:val="restart"/>
            <w:shd w:val="clear" w:color="auto" w:fill="auto"/>
            <w:vAlign w:val="center"/>
          </w:tcPr>
          <w:p w14:paraId="1A22B991">
            <w:pPr>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设备管理</w:t>
            </w:r>
          </w:p>
        </w:tc>
        <w:tc>
          <w:tcPr>
            <w:tcW w:w="455" w:type="pct"/>
            <w:shd w:val="clear" w:color="auto" w:fill="auto"/>
            <w:vAlign w:val="center"/>
          </w:tcPr>
          <w:p w14:paraId="1B190365">
            <w:pPr>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安全设备全生命周期管理</w:t>
            </w:r>
          </w:p>
        </w:tc>
        <w:tc>
          <w:tcPr>
            <w:tcW w:w="2187" w:type="pct"/>
            <w:shd w:val="clear" w:color="auto" w:fill="auto"/>
            <w:vAlign w:val="center"/>
          </w:tcPr>
          <w:p w14:paraId="31F26A5B">
            <w:pPr>
              <w:widowControl/>
              <w:rPr>
                <w:rFonts w:hint="eastAsia" w:ascii="宋体" w:hAnsi="宋体" w:cs="宋体"/>
                <w:color w:val="auto"/>
                <w:kern w:val="0"/>
                <w:szCs w:val="21"/>
              </w:rPr>
            </w:pPr>
            <w:r>
              <w:rPr>
                <w:rFonts w:hint="eastAsia" w:ascii="宋体" w:hAnsi="宋体" w:cs="宋体"/>
                <w:color w:val="auto"/>
                <w:kern w:val="0"/>
                <w:szCs w:val="21"/>
                <w:lang w:val="en-US" w:eastAsia="zh-CN"/>
              </w:rPr>
              <w:t>为防火墙、WEB 应用防护系统、态势感知平台、探针、终端安全防护、核心交换机等设备，提供从安装调试、配置优化、故障维修到版本升级的全生命周期管理，每年开展 1 次设备性能评估</w:t>
            </w:r>
          </w:p>
        </w:tc>
        <w:tc>
          <w:tcPr>
            <w:tcW w:w="355" w:type="pct"/>
            <w:vMerge w:val="restart"/>
            <w:vAlign w:val="center"/>
          </w:tcPr>
          <w:p w14:paraId="0EC1D813">
            <w:pPr>
              <w:keepNext w:val="0"/>
              <w:keepLines w:val="0"/>
              <w:widowControl/>
              <w:suppressLineNumbers w:val="0"/>
              <w:jc w:val="left"/>
              <w:rPr>
                <w:rFonts w:ascii="宋体" w:hAnsi="宋体" w:cs="宋体"/>
                <w:color w:val="auto"/>
                <w:kern w:val="0"/>
                <w:szCs w:val="21"/>
              </w:rPr>
            </w:pPr>
            <w:r>
              <w:rPr>
                <w:rFonts w:hint="eastAsia" w:ascii="宋体" w:hAnsi="宋体" w:cs="宋体"/>
                <w:color w:val="auto"/>
                <w:kern w:val="0"/>
                <w:szCs w:val="21"/>
                <w:lang w:val="en-US" w:eastAsia="zh-CN"/>
              </w:rPr>
              <w:t>1</w:t>
            </w:r>
          </w:p>
        </w:tc>
        <w:tc>
          <w:tcPr>
            <w:tcW w:w="233" w:type="pct"/>
            <w:vMerge w:val="restart"/>
            <w:vAlign w:val="center"/>
          </w:tcPr>
          <w:p w14:paraId="37B0056D">
            <w:pPr>
              <w:keepNext w:val="0"/>
              <w:keepLines w:val="0"/>
              <w:widowControl/>
              <w:suppressLineNumbers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项</w:t>
            </w:r>
          </w:p>
          <w:p w14:paraId="4CF9FDBC">
            <w:pPr>
              <w:keepNext w:val="0"/>
              <w:keepLines w:val="0"/>
              <w:widowControl/>
              <w:suppressLineNumbers w:val="0"/>
              <w:jc w:val="left"/>
              <w:rPr>
                <w:rFonts w:ascii="宋体" w:hAnsi="宋体" w:cs="宋体"/>
                <w:color w:val="auto"/>
                <w:kern w:val="0"/>
                <w:szCs w:val="21"/>
              </w:rPr>
            </w:pPr>
          </w:p>
        </w:tc>
        <w:tc>
          <w:tcPr>
            <w:tcW w:w="782" w:type="pct"/>
            <w:shd w:val="clear" w:color="auto" w:fill="auto"/>
            <w:vAlign w:val="center"/>
          </w:tcPr>
          <w:p w14:paraId="01B88BB1">
            <w:pPr>
              <w:widowControl/>
              <w:jc w:val="center"/>
              <w:rPr>
                <w:rFonts w:hint="eastAsia" w:ascii="宋体" w:hAnsi="宋体" w:cs="宋体"/>
                <w:color w:val="auto"/>
                <w:kern w:val="0"/>
                <w:szCs w:val="21"/>
              </w:rPr>
            </w:pPr>
            <w:r>
              <w:rPr>
                <w:rFonts w:hint="eastAsia" w:ascii="宋体" w:hAnsi="宋体" w:cs="宋体"/>
                <w:color w:val="auto"/>
                <w:kern w:val="0"/>
                <w:szCs w:val="21"/>
              </w:rPr>
              <w:t>《安全设备全生命周期管理报告》+ 每年《设备性能评估报告</w:t>
            </w:r>
          </w:p>
        </w:tc>
      </w:tr>
      <w:tr w14:paraId="1442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 w:type="pct"/>
            <w:shd w:val="clear" w:color="auto" w:fill="auto"/>
            <w:vAlign w:val="center"/>
          </w:tcPr>
          <w:p w14:paraId="706ED7CC">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17</w:t>
            </w:r>
          </w:p>
        </w:tc>
        <w:tc>
          <w:tcPr>
            <w:tcW w:w="335" w:type="pct"/>
            <w:vMerge w:val="continue"/>
            <w:vAlign w:val="center"/>
          </w:tcPr>
          <w:p w14:paraId="7515DD59">
            <w:pPr>
              <w:widowControl/>
              <w:jc w:val="left"/>
              <w:rPr>
                <w:rFonts w:ascii="宋体" w:hAnsi="宋体" w:cs="宋体"/>
                <w:color w:val="000000"/>
                <w:kern w:val="0"/>
                <w:szCs w:val="21"/>
              </w:rPr>
            </w:pPr>
          </w:p>
        </w:tc>
        <w:tc>
          <w:tcPr>
            <w:tcW w:w="401" w:type="pct"/>
            <w:vMerge w:val="continue"/>
            <w:shd w:val="clear" w:color="auto" w:fill="auto"/>
            <w:vAlign w:val="center"/>
          </w:tcPr>
          <w:p w14:paraId="729C3BEA">
            <w:pPr>
              <w:widowControl/>
              <w:jc w:val="center"/>
              <w:rPr>
                <w:rFonts w:hint="eastAsia" w:ascii="宋体" w:hAnsi="宋体" w:cs="宋体"/>
                <w:color w:val="auto"/>
                <w:kern w:val="0"/>
                <w:szCs w:val="21"/>
              </w:rPr>
            </w:pPr>
          </w:p>
        </w:tc>
        <w:tc>
          <w:tcPr>
            <w:tcW w:w="455" w:type="pct"/>
            <w:shd w:val="clear" w:color="auto" w:fill="auto"/>
            <w:vAlign w:val="center"/>
          </w:tcPr>
          <w:p w14:paraId="5F02FBDA">
            <w:pPr>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设备特征库同步管理</w:t>
            </w:r>
          </w:p>
        </w:tc>
        <w:tc>
          <w:tcPr>
            <w:tcW w:w="2187" w:type="pct"/>
            <w:shd w:val="clear" w:color="auto" w:fill="auto"/>
            <w:vAlign w:val="center"/>
          </w:tcPr>
          <w:p w14:paraId="766E26CE">
            <w:pPr>
              <w:widowControl/>
              <w:rPr>
                <w:rFonts w:hint="eastAsia" w:ascii="宋体" w:hAnsi="宋体" w:cs="宋体"/>
                <w:color w:val="auto"/>
                <w:kern w:val="0"/>
                <w:szCs w:val="21"/>
              </w:rPr>
            </w:pPr>
            <w:r>
              <w:rPr>
                <w:rFonts w:hint="eastAsia" w:ascii="宋体" w:hAnsi="宋体" w:cs="宋体"/>
                <w:color w:val="auto"/>
                <w:kern w:val="0"/>
                <w:szCs w:val="21"/>
                <w:lang w:val="en-US" w:eastAsia="zh-CN"/>
              </w:rPr>
              <w:t>保障所有安全设备特征库（病毒库、漏洞库、攻击特征库）7×24 小时自动同步，若自动同步失败，驻场人员需在 1 小时内手动更新，每月核查特征库更新记录</w:t>
            </w:r>
          </w:p>
        </w:tc>
        <w:tc>
          <w:tcPr>
            <w:tcW w:w="355" w:type="pct"/>
            <w:vMerge w:val="continue"/>
            <w:vAlign w:val="center"/>
          </w:tcPr>
          <w:p w14:paraId="7457F956">
            <w:pPr>
              <w:keepNext w:val="0"/>
              <w:keepLines w:val="0"/>
              <w:widowControl/>
              <w:suppressLineNumbers w:val="0"/>
              <w:jc w:val="left"/>
              <w:rPr>
                <w:rFonts w:ascii="宋体" w:hAnsi="宋体" w:cs="宋体"/>
                <w:color w:val="auto"/>
                <w:kern w:val="0"/>
                <w:szCs w:val="21"/>
              </w:rPr>
            </w:pPr>
          </w:p>
        </w:tc>
        <w:tc>
          <w:tcPr>
            <w:tcW w:w="233" w:type="pct"/>
            <w:vMerge w:val="continue"/>
            <w:vAlign w:val="center"/>
          </w:tcPr>
          <w:p w14:paraId="235FB37D">
            <w:pPr>
              <w:keepNext w:val="0"/>
              <w:keepLines w:val="0"/>
              <w:widowControl/>
              <w:suppressLineNumbers w:val="0"/>
              <w:jc w:val="left"/>
              <w:rPr>
                <w:rFonts w:ascii="宋体" w:hAnsi="宋体" w:cs="宋体"/>
                <w:color w:val="auto"/>
                <w:kern w:val="0"/>
                <w:szCs w:val="21"/>
              </w:rPr>
            </w:pPr>
          </w:p>
        </w:tc>
        <w:tc>
          <w:tcPr>
            <w:tcW w:w="782" w:type="pct"/>
            <w:shd w:val="clear" w:color="auto" w:fill="auto"/>
            <w:vAlign w:val="center"/>
          </w:tcPr>
          <w:p w14:paraId="4EF59EC1">
            <w:pPr>
              <w:widowControl/>
              <w:jc w:val="center"/>
              <w:rPr>
                <w:rFonts w:hint="eastAsia" w:ascii="宋体" w:hAnsi="宋体" w:cs="宋体"/>
                <w:color w:val="auto"/>
                <w:kern w:val="0"/>
                <w:szCs w:val="21"/>
              </w:rPr>
            </w:pPr>
            <w:r>
              <w:rPr>
                <w:rFonts w:hint="eastAsia" w:ascii="宋体" w:hAnsi="宋体" w:cs="宋体"/>
                <w:color w:val="auto"/>
                <w:kern w:val="0"/>
                <w:szCs w:val="21"/>
              </w:rPr>
              <w:t>每月《设备特征库更新核查报告》</w:t>
            </w:r>
          </w:p>
        </w:tc>
      </w:tr>
      <w:tr w14:paraId="30F4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 w:type="pct"/>
            <w:shd w:val="clear" w:color="auto" w:fill="auto"/>
            <w:vAlign w:val="center"/>
          </w:tcPr>
          <w:p w14:paraId="385106D1">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18</w:t>
            </w:r>
          </w:p>
        </w:tc>
        <w:tc>
          <w:tcPr>
            <w:tcW w:w="335" w:type="pct"/>
            <w:vMerge w:val="continue"/>
            <w:vAlign w:val="center"/>
          </w:tcPr>
          <w:p w14:paraId="3F39EC72">
            <w:pPr>
              <w:widowControl/>
              <w:jc w:val="left"/>
              <w:rPr>
                <w:rFonts w:ascii="宋体" w:hAnsi="宋体" w:cs="宋体"/>
                <w:color w:val="000000"/>
                <w:kern w:val="0"/>
                <w:szCs w:val="21"/>
              </w:rPr>
            </w:pPr>
          </w:p>
        </w:tc>
        <w:tc>
          <w:tcPr>
            <w:tcW w:w="401" w:type="pct"/>
            <w:shd w:val="clear" w:color="auto" w:fill="auto"/>
            <w:vAlign w:val="center"/>
          </w:tcPr>
          <w:p w14:paraId="5FC99374">
            <w:pPr>
              <w:widowControl/>
              <w:jc w:val="center"/>
              <w:rPr>
                <w:rFonts w:ascii="宋体" w:hAnsi="宋体" w:cs="宋体"/>
                <w:color w:val="000000"/>
                <w:kern w:val="0"/>
                <w:szCs w:val="21"/>
              </w:rPr>
            </w:pPr>
            <w:r>
              <w:rPr>
                <w:rFonts w:hint="eastAsia" w:ascii="宋体" w:hAnsi="宋体" w:cs="宋体"/>
                <w:color w:val="000000"/>
                <w:kern w:val="0"/>
                <w:szCs w:val="21"/>
              </w:rPr>
              <w:t>应急响应</w:t>
            </w:r>
          </w:p>
        </w:tc>
        <w:tc>
          <w:tcPr>
            <w:tcW w:w="455" w:type="pct"/>
            <w:shd w:val="clear" w:color="auto" w:fill="auto"/>
            <w:vAlign w:val="center"/>
          </w:tcPr>
          <w:p w14:paraId="03A57926">
            <w:pPr>
              <w:widowControl/>
              <w:jc w:val="center"/>
              <w:rPr>
                <w:rFonts w:ascii="宋体" w:hAnsi="宋体" w:cs="宋体"/>
                <w:color w:val="000000"/>
                <w:kern w:val="0"/>
                <w:szCs w:val="21"/>
              </w:rPr>
            </w:pPr>
            <w:r>
              <w:rPr>
                <w:rFonts w:hint="eastAsia" w:ascii="宋体" w:hAnsi="宋体" w:cs="宋体"/>
                <w:color w:val="000000"/>
                <w:kern w:val="0"/>
                <w:szCs w:val="21"/>
              </w:rPr>
              <w:t>应急响应服务</w:t>
            </w:r>
          </w:p>
        </w:tc>
        <w:tc>
          <w:tcPr>
            <w:tcW w:w="2187" w:type="pct"/>
            <w:shd w:val="clear" w:color="auto" w:fill="auto"/>
            <w:vAlign w:val="center"/>
          </w:tcPr>
          <w:p w14:paraId="50C839A5">
            <w:pPr>
              <w:widowControl/>
              <w:rPr>
                <w:rFonts w:hint="eastAsia" w:ascii="宋体" w:hAnsi="宋体" w:cs="宋体"/>
                <w:color w:val="000000"/>
                <w:kern w:val="0"/>
                <w:szCs w:val="21"/>
              </w:rPr>
            </w:pPr>
            <w:r>
              <w:rPr>
                <w:rFonts w:hint="eastAsia" w:ascii="宋体" w:hAnsi="宋体" w:cs="宋体"/>
                <w:color w:val="000000"/>
                <w:kern w:val="0"/>
                <w:szCs w:val="21"/>
              </w:rPr>
              <w:t>如遇突发安全事件，为招标人提供专业的应急响应支撑服务，帮助招标人快速、准确应对突发事件。</w:t>
            </w:r>
          </w:p>
        </w:tc>
        <w:tc>
          <w:tcPr>
            <w:tcW w:w="355" w:type="pct"/>
            <w:vMerge w:val="continue"/>
            <w:vAlign w:val="center"/>
          </w:tcPr>
          <w:p w14:paraId="50A9A962">
            <w:pPr>
              <w:widowControl/>
              <w:jc w:val="left"/>
              <w:rPr>
                <w:rFonts w:ascii="宋体" w:hAnsi="宋体" w:cs="宋体"/>
                <w:color w:val="000000"/>
                <w:kern w:val="0"/>
                <w:szCs w:val="21"/>
              </w:rPr>
            </w:pPr>
          </w:p>
        </w:tc>
        <w:tc>
          <w:tcPr>
            <w:tcW w:w="233" w:type="pct"/>
            <w:vMerge w:val="continue"/>
            <w:vAlign w:val="center"/>
          </w:tcPr>
          <w:p w14:paraId="3AB46505">
            <w:pPr>
              <w:widowControl/>
              <w:jc w:val="left"/>
              <w:rPr>
                <w:rFonts w:ascii="宋体" w:hAnsi="宋体" w:cs="宋体"/>
                <w:color w:val="000000"/>
                <w:kern w:val="0"/>
                <w:szCs w:val="21"/>
              </w:rPr>
            </w:pPr>
          </w:p>
        </w:tc>
        <w:tc>
          <w:tcPr>
            <w:tcW w:w="782" w:type="pct"/>
            <w:shd w:val="clear" w:color="auto" w:fill="auto"/>
            <w:vAlign w:val="center"/>
          </w:tcPr>
          <w:p w14:paraId="727E3C15">
            <w:pPr>
              <w:widowControl/>
              <w:jc w:val="center"/>
              <w:rPr>
                <w:rFonts w:ascii="宋体" w:hAnsi="宋体" w:cs="宋体"/>
                <w:color w:val="000000"/>
                <w:kern w:val="0"/>
                <w:szCs w:val="21"/>
              </w:rPr>
            </w:pPr>
            <w:r>
              <w:rPr>
                <w:rFonts w:hint="eastAsia" w:ascii="宋体" w:hAnsi="宋体" w:cs="宋体"/>
                <w:color w:val="000000"/>
                <w:kern w:val="0"/>
                <w:szCs w:val="21"/>
              </w:rPr>
              <w:t>解决突发安全事件后3个工作日内提供1份《安全事件处理报告》</w:t>
            </w:r>
          </w:p>
        </w:tc>
      </w:tr>
      <w:tr w14:paraId="7873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9" w:type="pct"/>
            <w:shd w:val="clear" w:color="auto" w:fill="auto"/>
            <w:vAlign w:val="center"/>
          </w:tcPr>
          <w:p w14:paraId="4508500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19</w:t>
            </w:r>
          </w:p>
        </w:tc>
        <w:tc>
          <w:tcPr>
            <w:tcW w:w="335" w:type="pct"/>
            <w:vMerge w:val="restart"/>
            <w:shd w:val="clear" w:color="auto" w:fill="auto"/>
            <w:vAlign w:val="center"/>
          </w:tcPr>
          <w:p w14:paraId="585D6358">
            <w:pPr>
              <w:widowControl/>
              <w:jc w:val="center"/>
              <w:rPr>
                <w:rFonts w:ascii="宋体" w:hAnsi="宋体" w:cs="宋体"/>
                <w:color w:val="000000"/>
                <w:kern w:val="0"/>
                <w:szCs w:val="21"/>
              </w:rPr>
            </w:pPr>
            <w:r>
              <w:rPr>
                <w:rFonts w:hint="eastAsia" w:ascii="宋体" w:hAnsi="宋体" w:cs="宋体"/>
                <w:color w:val="000000"/>
                <w:kern w:val="0"/>
                <w:szCs w:val="21"/>
              </w:rPr>
              <w:t>安全培训</w:t>
            </w:r>
          </w:p>
        </w:tc>
        <w:tc>
          <w:tcPr>
            <w:tcW w:w="401" w:type="pct"/>
            <w:shd w:val="clear" w:color="auto" w:fill="auto"/>
            <w:vAlign w:val="center"/>
          </w:tcPr>
          <w:p w14:paraId="00CBBF2B">
            <w:pPr>
              <w:widowControl/>
              <w:jc w:val="center"/>
              <w:rPr>
                <w:rFonts w:ascii="宋体" w:hAnsi="宋体" w:cs="宋体"/>
                <w:color w:val="000000"/>
                <w:kern w:val="0"/>
                <w:szCs w:val="21"/>
              </w:rPr>
            </w:pPr>
            <w:r>
              <w:rPr>
                <w:rFonts w:hint="eastAsia" w:ascii="宋体" w:hAnsi="宋体" w:cs="宋体"/>
                <w:color w:val="000000"/>
                <w:kern w:val="0"/>
                <w:szCs w:val="21"/>
              </w:rPr>
              <w:t>安全意识</w:t>
            </w:r>
          </w:p>
        </w:tc>
        <w:tc>
          <w:tcPr>
            <w:tcW w:w="455" w:type="pct"/>
            <w:shd w:val="clear" w:color="auto" w:fill="auto"/>
            <w:vAlign w:val="center"/>
          </w:tcPr>
          <w:p w14:paraId="1FE23DF6">
            <w:pPr>
              <w:widowControl/>
              <w:jc w:val="center"/>
              <w:rPr>
                <w:rFonts w:ascii="宋体" w:hAnsi="宋体" w:cs="宋体"/>
                <w:color w:val="000000"/>
                <w:kern w:val="0"/>
                <w:szCs w:val="21"/>
              </w:rPr>
            </w:pPr>
            <w:r>
              <w:rPr>
                <w:rFonts w:hint="eastAsia" w:ascii="宋体" w:hAnsi="宋体" w:cs="宋体"/>
                <w:color w:val="000000"/>
                <w:kern w:val="0"/>
                <w:szCs w:val="21"/>
              </w:rPr>
              <w:t>全院安全意识提升培训</w:t>
            </w:r>
          </w:p>
        </w:tc>
        <w:tc>
          <w:tcPr>
            <w:tcW w:w="2187" w:type="pct"/>
            <w:shd w:val="clear" w:color="auto" w:fill="auto"/>
            <w:vAlign w:val="center"/>
          </w:tcPr>
          <w:p w14:paraId="1BBB20FC">
            <w:pPr>
              <w:widowControl/>
              <w:rPr>
                <w:rFonts w:hint="eastAsia" w:ascii="宋体" w:hAnsi="宋体" w:cs="宋体"/>
                <w:color w:val="000000"/>
                <w:kern w:val="0"/>
                <w:szCs w:val="21"/>
              </w:rPr>
            </w:pPr>
            <w:r>
              <w:rPr>
                <w:rFonts w:hint="eastAsia" w:ascii="宋体" w:hAnsi="宋体" w:cs="宋体"/>
                <w:color w:val="000000"/>
                <w:kern w:val="0"/>
                <w:szCs w:val="21"/>
              </w:rPr>
              <w:t>每</w:t>
            </w:r>
            <w:r>
              <w:rPr>
                <w:rFonts w:hint="eastAsia" w:ascii="宋体" w:hAnsi="宋体" w:cs="宋体"/>
                <w:color w:val="000000"/>
                <w:kern w:val="0"/>
                <w:szCs w:val="21"/>
                <w:lang w:val="en-US" w:eastAsia="zh-CN"/>
              </w:rPr>
              <w:t>月</w:t>
            </w:r>
            <w:r>
              <w:rPr>
                <w:rFonts w:hint="eastAsia" w:ascii="宋体" w:hAnsi="宋体" w:cs="宋体"/>
                <w:color w:val="000000"/>
                <w:kern w:val="0"/>
                <w:szCs w:val="21"/>
              </w:rPr>
              <w:t>对招标人单位全员开展1次安全意识提升培训。</w:t>
            </w:r>
          </w:p>
        </w:tc>
        <w:tc>
          <w:tcPr>
            <w:tcW w:w="355" w:type="pct"/>
            <w:vMerge w:val="restart"/>
            <w:shd w:val="clear" w:color="auto" w:fill="auto"/>
            <w:vAlign w:val="center"/>
          </w:tcPr>
          <w:p w14:paraId="51525F2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33" w:type="pct"/>
            <w:vMerge w:val="restart"/>
            <w:shd w:val="clear" w:color="auto" w:fill="auto"/>
            <w:vAlign w:val="center"/>
          </w:tcPr>
          <w:p w14:paraId="12AEB760">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782" w:type="pct"/>
            <w:vMerge w:val="restart"/>
            <w:shd w:val="clear" w:color="auto" w:fill="auto"/>
            <w:vAlign w:val="center"/>
          </w:tcPr>
          <w:p w14:paraId="4D05EC79">
            <w:pPr>
              <w:widowControl/>
              <w:jc w:val="center"/>
              <w:rPr>
                <w:rFonts w:ascii="宋体" w:hAnsi="宋体" w:cs="宋体"/>
                <w:color w:val="000000"/>
                <w:kern w:val="0"/>
                <w:szCs w:val="21"/>
              </w:rPr>
            </w:pPr>
            <w:r>
              <w:rPr>
                <w:rFonts w:hint="eastAsia" w:ascii="宋体" w:hAnsi="宋体" w:cs="宋体"/>
                <w:color w:val="000000"/>
                <w:kern w:val="0"/>
                <w:szCs w:val="21"/>
              </w:rPr>
              <w:t>根据招标人指定时间安排培训，提供《安全培训PPT》</w:t>
            </w:r>
          </w:p>
        </w:tc>
      </w:tr>
      <w:tr w14:paraId="2164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9" w:type="pct"/>
            <w:shd w:val="clear" w:color="auto" w:fill="auto"/>
            <w:vAlign w:val="center"/>
          </w:tcPr>
          <w:p w14:paraId="12DC3A5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w:t>
            </w:r>
          </w:p>
        </w:tc>
        <w:tc>
          <w:tcPr>
            <w:tcW w:w="335" w:type="pct"/>
            <w:vMerge w:val="continue"/>
            <w:vAlign w:val="center"/>
          </w:tcPr>
          <w:p w14:paraId="37E3BACE">
            <w:pPr>
              <w:widowControl/>
              <w:jc w:val="left"/>
              <w:rPr>
                <w:rFonts w:ascii="宋体" w:hAnsi="宋体" w:cs="宋体"/>
                <w:color w:val="000000"/>
                <w:kern w:val="0"/>
                <w:szCs w:val="21"/>
              </w:rPr>
            </w:pPr>
          </w:p>
        </w:tc>
        <w:tc>
          <w:tcPr>
            <w:tcW w:w="401" w:type="pct"/>
            <w:shd w:val="clear" w:color="auto" w:fill="auto"/>
            <w:vAlign w:val="center"/>
          </w:tcPr>
          <w:p w14:paraId="08D3B29E">
            <w:pPr>
              <w:widowControl/>
              <w:jc w:val="center"/>
              <w:rPr>
                <w:rFonts w:ascii="宋体" w:hAnsi="宋体" w:cs="宋体"/>
                <w:color w:val="000000"/>
                <w:kern w:val="0"/>
                <w:szCs w:val="21"/>
              </w:rPr>
            </w:pPr>
            <w:r>
              <w:rPr>
                <w:rFonts w:hint="eastAsia" w:ascii="宋体" w:hAnsi="宋体" w:cs="宋体"/>
                <w:color w:val="000000"/>
                <w:kern w:val="0"/>
                <w:szCs w:val="21"/>
              </w:rPr>
              <w:t>安全技术</w:t>
            </w:r>
          </w:p>
        </w:tc>
        <w:tc>
          <w:tcPr>
            <w:tcW w:w="455" w:type="pct"/>
            <w:shd w:val="clear" w:color="auto" w:fill="auto"/>
            <w:vAlign w:val="center"/>
          </w:tcPr>
          <w:p w14:paraId="51D16CB4">
            <w:pPr>
              <w:widowControl/>
              <w:jc w:val="center"/>
              <w:rPr>
                <w:rFonts w:ascii="宋体" w:hAnsi="宋体" w:cs="宋体"/>
                <w:color w:val="000000"/>
                <w:kern w:val="0"/>
                <w:szCs w:val="21"/>
              </w:rPr>
            </w:pPr>
            <w:r>
              <w:rPr>
                <w:rFonts w:hint="eastAsia" w:ascii="宋体" w:hAnsi="宋体" w:cs="宋体"/>
                <w:color w:val="000000"/>
                <w:kern w:val="0"/>
                <w:szCs w:val="21"/>
              </w:rPr>
              <w:t>安全技术培训服务</w:t>
            </w:r>
          </w:p>
        </w:tc>
        <w:tc>
          <w:tcPr>
            <w:tcW w:w="2187" w:type="pct"/>
            <w:shd w:val="clear" w:color="auto" w:fill="auto"/>
            <w:vAlign w:val="center"/>
          </w:tcPr>
          <w:p w14:paraId="7A6E2A9E">
            <w:pPr>
              <w:widowControl/>
              <w:rPr>
                <w:rFonts w:ascii="宋体" w:hAnsi="宋体" w:cs="宋体"/>
                <w:color w:val="000000"/>
                <w:kern w:val="0"/>
                <w:szCs w:val="21"/>
              </w:rPr>
            </w:pPr>
            <w:r>
              <w:rPr>
                <w:rFonts w:hint="eastAsia" w:ascii="宋体" w:hAnsi="宋体" w:cs="宋体"/>
                <w:color w:val="000000"/>
                <w:kern w:val="0"/>
                <w:szCs w:val="21"/>
              </w:rPr>
              <w:t>根据招标人对单位安全技术人员的专业能力要求，以线上线下结合的培训方式，每</w:t>
            </w:r>
            <w:r>
              <w:rPr>
                <w:rFonts w:hint="eastAsia" w:ascii="宋体" w:hAnsi="宋体" w:cs="宋体"/>
                <w:color w:val="000000"/>
                <w:kern w:val="0"/>
                <w:szCs w:val="21"/>
                <w:lang w:val="en-US" w:eastAsia="zh-CN"/>
              </w:rPr>
              <w:t>月</w:t>
            </w:r>
            <w:r>
              <w:rPr>
                <w:rFonts w:hint="eastAsia" w:ascii="宋体" w:hAnsi="宋体" w:cs="宋体"/>
                <w:color w:val="000000"/>
                <w:kern w:val="0"/>
                <w:szCs w:val="21"/>
              </w:rPr>
              <w:t>集中培训1次。</w:t>
            </w:r>
          </w:p>
        </w:tc>
        <w:tc>
          <w:tcPr>
            <w:tcW w:w="355" w:type="pct"/>
            <w:vMerge w:val="continue"/>
            <w:vAlign w:val="center"/>
          </w:tcPr>
          <w:p w14:paraId="5FD099BB">
            <w:pPr>
              <w:widowControl/>
              <w:jc w:val="left"/>
              <w:rPr>
                <w:rFonts w:ascii="宋体" w:hAnsi="宋体" w:cs="宋体"/>
                <w:color w:val="000000"/>
                <w:kern w:val="0"/>
                <w:szCs w:val="21"/>
              </w:rPr>
            </w:pPr>
          </w:p>
        </w:tc>
        <w:tc>
          <w:tcPr>
            <w:tcW w:w="233" w:type="pct"/>
            <w:vMerge w:val="continue"/>
            <w:vAlign w:val="center"/>
          </w:tcPr>
          <w:p w14:paraId="38677036">
            <w:pPr>
              <w:widowControl/>
              <w:jc w:val="left"/>
              <w:rPr>
                <w:rFonts w:ascii="宋体" w:hAnsi="宋体" w:cs="宋体"/>
                <w:color w:val="000000"/>
                <w:kern w:val="0"/>
                <w:szCs w:val="21"/>
              </w:rPr>
            </w:pPr>
          </w:p>
        </w:tc>
        <w:tc>
          <w:tcPr>
            <w:tcW w:w="782" w:type="pct"/>
            <w:vMerge w:val="continue"/>
            <w:shd w:val="clear" w:color="auto" w:fill="auto"/>
            <w:vAlign w:val="center"/>
          </w:tcPr>
          <w:p w14:paraId="277FB6ED">
            <w:pPr>
              <w:widowControl/>
              <w:jc w:val="center"/>
              <w:rPr>
                <w:rFonts w:ascii="宋体" w:hAnsi="宋体" w:cs="宋体"/>
                <w:color w:val="000000"/>
                <w:kern w:val="0"/>
                <w:szCs w:val="21"/>
              </w:rPr>
            </w:pPr>
          </w:p>
        </w:tc>
      </w:tr>
    </w:tbl>
    <w:p w14:paraId="2C84A6AE">
      <w:pPr>
        <w:rPr>
          <w:rFonts w:ascii="宋体" w:hAnsi="宋体"/>
        </w:rPr>
      </w:pPr>
    </w:p>
    <w:p w14:paraId="34B3F6D8">
      <w:pPr>
        <w:pStyle w:val="63"/>
        <w:numPr>
          <w:ilvl w:val="0"/>
          <w:numId w:val="2"/>
        </w:numPr>
        <w:ind w:left="425" w:leftChars="0" w:hanging="425" w:firstLineChars="0"/>
        <w:rPr>
          <w:rFonts w:hint="eastAsia" w:eastAsia="宋体"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服务内容不限于上述表格的服务内容，供应商可</w:t>
      </w:r>
      <w:r>
        <w:rPr>
          <w:rFonts w:hint="eastAsia" w:eastAsia="宋体" w:cs="Times New Roman" w:asciiTheme="minorEastAsia" w:hAnsiTheme="minorEastAsia"/>
          <w:kern w:val="2"/>
          <w:sz w:val="28"/>
          <w:szCs w:val="28"/>
          <w:lang w:val="en-US" w:eastAsia="zh-CN" w:bidi="ar-SA"/>
        </w:rPr>
        <w:t>结合医院现状，提供相应的安全提升计划方案</w:t>
      </w:r>
      <w:r>
        <w:rPr>
          <w:rFonts w:hint="eastAsia" w:cs="Times New Roman" w:asciiTheme="minorEastAsia" w:hAnsiTheme="minorEastAsia"/>
          <w:kern w:val="2"/>
          <w:sz w:val="28"/>
          <w:szCs w:val="28"/>
          <w:lang w:val="en-US" w:eastAsia="zh-CN" w:bidi="ar-SA"/>
        </w:rPr>
        <w:t>及报价</w:t>
      </w:r>
      <w:r>
        <w:rPr>
          <w:rFonts w:hint="eastAsia" w:eastAsia="宋体" w:cs="Times New Roman" w:asciiTheme="minorEastAsia" w:hAnsiTheme="minorEastAsia"/>
          <w:kern w:val="2"/>
          <w:sz w:val="28"/>
          <w:szCs w:val="28"/>
          <w:lang w:val="en-US" w:eastAsia="zh-CN" w:bidi="ar-SA"/>
        </w:rPr>
        <w:t>。方案包括医院本地及云上业务的整体安全，网络入口等关键位置实现链路冗余机制等。</w:t>
      </w:r>
    </w:p>
    <w:p w14:paraId="1C6B224B">
      <w:pPr>
        <w:pStyle w:val="63"/>
        <w:numPr>
          <w:ilvl w:val="0"/>
          <w:numId w:val="2"/>
        </w:numPr>
        <w:ind w:left="425" w:leftChars="0" w:hanging="425" w:firstLineChars="0"/>
        <w:rPr>
          <w:rFonts w:hint="eastAsia" w:eastAsia="宋体" w:cs="Times New Roman" w:asciiTheme="minorEastAsia" w:hAnsiTheme="minorEastAsia"/>
          <w:kern w:val="2"/>
          <w:sz w:val="28"/>
          <w:szCs w:val="28"/>
          <w:lang w:val="en-US" w:eastAsia="zh-CN" w:bidi="ar-SA"/>
        </w:rPr>
      </w:pPr>
      <w:r>
        <w:rPr>
          <w:rFonts w:hint="eastAsia" w:eastAsia="宋体" w:cs="Times New Roman" w:asciiTheme="minorEastAsia" w:hAnsiTheme="minorEastAsia"/>
          <w:kern w:val="2"/>
          <w:sz w:val="28"/>
          <w:szCs w:val="28"/>
          <w:lang w:val="en-US" w:eastAsia="zh-CN" w:bidi="ar-SA"/>
        </w:rPr>
        <w:t>提供防火墙、WEB应用防护系统、态势感知平台、探针、终端安全防护、核心交换机等设备详细参数</w:t>
      </w:r>
      <w:r>
        <w:rPr>
          <w:rFonts w:hint="eastAsia" w:cs="Times New Roman" w:asciiTheme="minorEastAsia" w:hAnsiTheme="minorEastAsia"/>
          <w:kern w:val="2"/>
          <w:sz w:val="28"/>
          <w:szCs w:val="28"/>
          <w:lang w:val="en-US" w:eastAsia="zh-CN" w:bidi="ar-SA"/>
        </w:rPr>
        <w:t>及报价</w:t>
      </w:r>
      <w:r>
        <w:rPr>
          <w:rFonts w:hint="eastAsia" w:eastAsia="宋体" w:cs="Times New Roman" w:asciiTheme="minorEastAsia" w:hAnsiTheme="minorEastAsia"/>
          <w:kern w:val="2"/>
          <w:sz w:val="28"/>
          <w:szCs w:val="28"/>
          <w:lang w:val="en-US" w:eastAsia="zh-CN" w:bidi="ar-SA"/>
        </w:rPr>
        <w:t>，质保年限，特征库年限等。</w:t>
      </w:r>
    </w:p>
    <w:p w14:paraId="25960C01">
      <w:pPr>
        <w:ind w:firstLine="439" w:firstLineChars="157"/>
        <w:rPr>
          <w:rFonts w:ascii="宋体" w:hAnsi="宋体"/>
          <w:bCs/>
          <w:sz w:val="28"/>
          <w:szCs w:val="28"/>
        </w:rPr>
      </w:pPr>
      <w:r>
        <w:rPr>
          <w:rFonts w:hint="eastAsia" w:ascii="宋体" w:hAnsi="宋体"/>
          <w:bCs/>
          <w:sz w:val="28"/>
          <w:szCs w:val="28"/>
          <w:lang w:val="en-US" w:eastAsia="zh-CN"/>
        </w:rPr>
        <w:t>4</w:t>
      </w:r>
      <w:r>
        <w:rPr>
          <w:rFonts w:hint="eastAsia" w:ascii="宋体" w:hAnsi="宋体"/>
          <w:bCs/>
          <w:sz w:val="28"/>
          <w:szCs w:val="28"/>
        </w:rPr>
        <w:t>、服务考核及违约赔偿</w:t>
      </w:r>
    </w:p>
    <w:p w14:paraId="1DB0D832">
      <w:pPr>
        <w:ind w:firstLine="565" w:firstLineChars="202"/>
        <w:rPr>
          <w:rFonts w:ascii="宋体" w:hAnsi="宋体"/>
          <w:sz w:val="28"/>
          <w:szCs w:val="28"/>
        </w:rPr>
      </w:pPr>
      <w:r>
        <w:rPr>
          <w:rFonts w:hint="eastAsia" w:ascii="宋体" w:hAnsi="宋体"/>
          <w:sz w:val="28"/>
          <w:szCs w:val="28"/>
        </w:rPr>
        <w:t>院方按照以下责任考核制度和处罚机制定期对中标人进行考核。</w:t>
      </w:r>
    </w:p>
    <w:tbl>
      <w:tblPr>
        <w:tblStyle w:val="25"/>
        <w:tblpPr w:leftFromText="180" w:rightFromText="180" w:vertAnchor="text" w:horzAnchor="margin" w:tblpXSpec="center" w:tblpY="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1176"/>
        <w:gridCol w:w="3432"/>
        <w:gridCol w:w="3144"/>
      </w:tblGrid>
      <w:tr w14:paraId="18D0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1" w:type="pct"/>
            <w:shd w:val="clear" w:color="auto" w:fill="auto"/>
            <w:noWrap/>
            <w:vAlign w:val="bottom"/>
          </w:tcPr>
          <w:p w14:paraId="262858B3">
            <w:pPr>
              <w:widowControl/>
              <w:jc w:val="center"/>
              <w:rPr>
                <w:rFonts w:asciiTheme="minorEastAsia" w:hAnsiTheme="minorEastAsia" w:eastAsiaTheme="minorEastAsia"/>
                <w:sz w:val="24"/>
              </w:rPr>
            </w:pPr>
            <w:r>
              <w:rPr>
                <w:rFonts w:hint="eastAsia" w:asciiTheme="minorEastAsia" w:hAnsiTheme="minorEastAsia" w:eastAsiaTheme="minorEastAsia"/>
                <w:sz w:val="24"/>
              </w:rPr>
              <w:t xml:space="preserve">序号 </w:t>
            </w:r>
          </w:p>
        </w:tc>
        <w:tc>
          <w:tcPr>
            <w:tcW w:w="610" w:type="pct"/>
            <w:shd w:val="clear" w:color="auto" w:fill="auto"/>
            <w:noWrap/>
            <w:vAlign w:val="bottom"/>
          </w:tcPr>
          <w:p w14:paraId="7B8FDAA9">
            <w:pPr>
              <w:widowControl/>
              <w:jc w:val="center"/>
              <w:rPr>
                <w:rFonts w:asciiTheme="minorEastAsia" w:hAnsiTheme="minorEastAsia" w:eastAsiaTheme="minorEastAsia"/>
                <w:sz w:val="24"/>
              </w:rPr>
            </w:pPr>
            <w:r>
              <w:rPr>
                <w:rFonts w:hint="eastAsia" w:asciiTheme="minorEastAsia" w:hAnsiTheme="minorEastAsia" w:eastAsiaTheme="minorEastAsia"/>
                <w:sz w:val="24"/>
              </w:rPr>
              <w:t xml:space="preserve">考核大类 </w:t>
            </w:r>
          </w:p>
        </w:tc>
        <w:tc>
          <w:tcPr>
            <w:tcW w:w="610" w:type="pct"/>
            <w:shd w:val="clear" w:color="auto" w:fill="auto"/>
            <w:noWrap/>
            <w:vAlign w:val="bottom"/>
          </w:tcPr>
          <w:p w14:paraId="04CF3ADC">
            <w:pPr>
              <w:widowControl/>
              <w:jc w:val="center"/>
              <w:rPr>
                <w:rFonts w:asciiTheme="minorEastAsia" w:hAnsiTheme="minorEastAsia" w:eastAsiaTheme="minorEastAsia"/>
                <w:sz w:val="24"/>
              </w:rPr>
            </w:pPr>
            <w:r>
              <w:rPr>
                <w:rFonts w:hint="eastAsia" w:asciiTheme="minorEastAsia" w:hAnsiTheme="minorEastAsia" w:eastAsiaTheme="minorEastAsia"/>
                <w:sz w:val="24"/>
              </w:rPr>
              <w:t xml:space="preserve">考核项目 </w:t>
            </w:r>
          </w:p>
        </w:tc>
        <w:tc>
          <w:tcPr>
            <w:tcW w:w="1783" w:type="pct"/>
            <w:shd w:val="clear" w:color="auto" w:fill="auto"/>
            <w:noWrap/>
            <w:vAlign w:val="center"/>
          </w:tcPr>
          <w:p w14:paraId="12DF7913">
            <w:pPr>
              <w:widowControl/>
              <w:jc w:val="center"/>
              <w:rPr>
                <w:rFonts w:asciiTheme="minorEastAsia" w:hAnsiTheme="minorEastAsia" w:eastAsiaTheme="minorEastAsia"/>
                <w:sz w:val="24"/>
              </w:rPr>
            </w:pPr>
            <w:r>
              <w:rPr>
                <w:rFonts w:hint="eastAsia" w:asciiTheme="minorEastAsia" w:hAnsiTheme="minorEastAsia" w:eastAsiaTheme="minorEastAsia"/>
                <w:sz w:val="24"/>
              </w:rPr>
              <w:t>考核说明</w:t>
            </w:r>
          </w:p>
        </w:tc>
        <w:tc>
          <w:tcPr>
            <w:tcW w:w="1633" w:type="pct"/>
            <w:shd w:val="clear" w:color="auto" w:fill="auto"/>
            <w:noWrap/>
            <w:vAlign w:val="center"/>
          </w:tcPr>
          <w:p w14:paraId="15A0ECFF">
            <w:pPr>
              <w:widowControl/>
              <w:jc w:val="center"/>
              <w:rPr>
                <w:rFonts w:asciiTheme="minorEastAsia" w:hAnsiTheme="minorEastAsia" w:eastAsiaTheme="minorEastAsia"/>
                <w:sz w:val="24"/>
              </w:rPr>
            </w:pPr>
            <w:r>
              <w:rPr>
                <w:rFonts w:hint="eastAsia" w:asciiTheme="minorEastAsia" w:hAnsiTheme="minorEastAsia" w:eastAsiaTheme="minorEastAsia"/>
                <w:sz w:val="24"/>
              </w:rPr>
              <w:t>罚则</w:t>
            </w:r>
          </w:p>
        </w:tc>
      </w:tr>
      <w:tr w14:paraId="2B92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61" w:type="pct"/>
            <w:shd w:val="clear" w:color="auto" w:fill="auto"/>
            <w:noWrap/>
            <w:vAlign w:val="center"/>
          </w:tcPr>
          <w:p w14:paraId="1D222CAA">
            <w:pPr>
              <w:widowControl/>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610" w:type="pct"/>
            <w:vMerge w:val="restart"/>
            <w:shd w:val="clear" w:color="auto" w:fill="auto"/>
            <w:vAlign w:val="center"/>
          </w:tcPr>
          <w:p w14:paraId="72BCA300">
            <w:pPr>
              <w:widowControl/>
              <w:jc w:val="center"/>
              <w:rPr>
                <w:rFonts w:asciiTheme="minorEastAsia" w:hAnsiTheme="minorEastAsia" w:eastAsiaTheme="minorEastAsia"/>
                <w:sz w:val="24"/>
              </w:rPr>
            </w:pPr>
            <w:r>
              <w:rPr>
                <w:rFonts w:hint="eastAsia" w:asciiTheme="minorEastAsia" w:hAnsiTheme="minorEastAsia" w:eastAsiaTheme="minorEastAsia"/>
                <w:sz w:val="24"/>
              </w:rPr>
              <w:t xml:space="preserve">技术 </w:t>
            </w:r>
          </w:p>
        </w:tc>
        <w:tc>
          <w:tcPr>
            <w:tcW w:w="610" w:type="pct"/>
            <w:vMerge w:val="restart"/>
            <w:shd w:val="clear" w:color="auto" w:fill="auto"/>
            <w:vAlign w:val="center"/>
          </w:tcPr>
          <w:p w14:paraId="3776D20F">
            <w:pPr>
              <w:widowControl/>
              <w:jc w:val="left"/>
              <w:rPr>
                <w:rFonts w:asciiTheme="minorEastAsia" w:hAnsiTheme="minorEastAsia" w:eastAsiaTheme="minorEastAsia"/>
                <w:color w:val="C00000"/>
                <w:sz w:val="24"/>
                <w:highlight w:val="none"/>
              </w:rPr>
            </w:pPr>
            <w:r>
              <w:rPr>
                <w:rFonts w:hint="eastAsia" w:asciiTheme="minorEastAsia" w:hAnsiTheme="minorEastAsia" w:eastAsiaTheme="minorEastAsia"/>
                <w:sz w:val="24"/>
              </w:rPr>
              <w:t>网络安全</w:t>
            </w:r>
          </w:p>
        </w:tc>
        <w:tc>
          <w:tcPr>
            <w:tcW w:w="1783" w:type="pct"/>
            <w:shd w:val="clear" w:color="auto" w:fill="auto"/>
            <w:vAlign w:val="center"/>
          </w:tcPr>
          <w:p w14:paraId="74AA203F">
            <w:pPr>
              <w:widowControl/>
              <w:jc w:val="left"/>
              <w:rPr>
                <w:rFonts w:asciiTheme="minorEastAsia" w:hAnsiTheme="minorEastAsia" w:eastAsiaTheme="minorEastAsia"/>
                <w:sz w:val="24"/>
              </w:rPr>
            </w:pPr>
            <w:r>
              <w:rPr>
                <w:rFonts w:hint="eastAsia" w:asciiTheme="minorEastAsia" w:hAnsiTheme="minorEastAsia" w:eastAsiaTheme="minorEastAsia"/>
                <w:sz w:val="24"/>
              </w:rPr>
              <w:t>因恶意病毒、安全攻击事件造成网络故障（不含设备故障类）影响超过20%的部门人员无法正常使用，包括无法连接互联网或内网正常连接请求无法响应等，造成网络瘫痪不可用。</w:t>
            </w:r>
          </w:p>
        </w:tc>
        <w:tc>
          <w:tcPr>
            <w:tcW w:w="1633" w:type="pct"/>
            <w:shd w:val="clear" w:color="auto" w:fill="auto"/>
            <w:vAlign w:val="center"/>
          </w:tcPr>
          <w:p w14:paraId="447D3629">
            <w:pPr>
              <w:widowControl/>
              <w:jc w:val="left"/>
              <w:rPr>
                <w:rFonts w:asciiTheme="minorEastAsia" w:hAnsiTheme="minorEastAsia" w:eastAsiaTheme="minorEastAsia"/>
                <w:sz w:val="24"/>
              </w:rPr>
            </w:pPr>
            <w:r>
              <w:rPr>
                <w:rFonts w:hint="eastAsia" w:asciiTheme="minorEastAsia" w:hAnsiTheme="minorEastAsia" w:eastAsiaTheme="minorEastAsia"/>
                <w:sz w:val="24"/>
              </w:rPr>
              <w:t>网络瘫痪超过1小时不可用，扣除本年度安全服务合同金额</w:t>
            </w:r>
            <w:r>
              <w:rPr>
                <w:rFonts w:asciiTheme="minorEastAsia" w:hAnsiTheme="minorEastAsia" w:eastAsiaTheme="minorEastAsia"/>
                <w:sz w:val="24"/>
              </w:rPr>
              <w:t>1</w:t>
            </w:r>
            <w:r>
              <w:rPr>
                <w:rFonts w:hint="eastAsia" w:asciiTheme="minorEastAsia" w:hAnsiTheme="minorEastAsia" w:eastAsiaTheme="minorEastAsia"/>
                <w:sz w:val="24"/>
              </w:rPr>
              <w:t>%；网络瘫痪超过2小时不可用，扣除本年度安全服务合同金额</w:t>
            </w:r>
            <w:r>
              <w:rPr>
                <w:rFonts w:asciiTheme="minorEastAsia" w:hAnsiTheme="minorEastAsia" w:eastAsiaTheme="minorEastAsia"/>
                <w:sz w:val="24"/>
              </w:rPr>
              <w:t>2</w:t>
            </w:r>
            <w:r>
              <w:rPr>
                <w:rFonts w:hint="eastAsia" w:asciiTheme="minorEastAsia" w:hAnsiTheme="minorEastAsia" w:eastAsiaTheme="minorEastAsia"/>
                <w:sz w:val="24"/>
              </w:rPr>
              <w:t>%。</w:t>
            </w:r>
          </w:p>
        </w:tc>
      </w:tr>
      <w:tr w14:paraId="7EE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61" w:type="pct"/>
            <w:shd w:val="clear" w:color="auto" w:fill="auto"/>
            <w:noWrap/>
            <w:vAlign w:val="center"/>
          </w:tcPr>
          <w:p w14:paraId="24BCCF0D">
            <w:pPr>
              <w:widowControl/>
              <w:jc w:val="center"/>
              <w:rPr>
                <w:rFonts w:asciiTheme="minorEastAsia" w:hAnsiTheme="minorEastAsia" w:eastAsiaTheme="minorEastAsia"/>
                <w:color w:val="C00000"/>
                <w:sz w:val="24"/>
                <w:highlight w:val="none"/>
              </w:rPr>
            </w:pPr>
            <w:r>
              <w:rPr>
                <w:rFonts w:hint="eastAsia" w:asciiTheme="minorEastAsia" w:hAnsiTheme="minorEastAsia" w:eastAsiaTheme="minorEastAsia"/>
                <w:color w:val="0000FF"/>
                <w:sz w:val="24"/>
                <w:highlight w:val="none"/>
              </w:rPr>
              <w:t>2</w:t>
            </w:r>
          </w:p>
        </w:tc>
        <w:tc>
          <w:tcPr>
            <w:tcW w:w="610" w:type="pct"/>
            <w:vMerge w:val="continue"/>
            <w:vAlign w:val="center"/>
          </w:tcPr>
          <w:p w14:paraId="2E0F7A95">
            <w:pPr>
              <w:widowControl/>
              <w:jc w:val="left"/>
              <w:rPr>
                <w:rFonts w:asciiTheme="minorEastAsia" w:hAnsiTheme="minorEastAsia" w:eastAsiaTheme="minorEastAsia"/>
                <w:color w:val="C00000"/>
                <w:sz w:val="24"/>
                <w:highlight w:val="none"/>
              </w:rPr>
            </w:pPr>
          </w:p>
        </w:tc>
        <w:tc>
          <w:tcPr>
            <w:tcW w:w="610" w:type="pct"/>
            <w:vMerge w:val="continue"/>
            <w:shd w:val="clear" w:color="auto" w:fill="auto"/>
            <w:vAlign w:val="center"/>
          </w:tcPr>
          <w:p w14:paraId="38F48C2C">
            <w:pPr>
              <w:widowControl/>
              <w:jc w:val="left"/>
              <w:rPr>
                <w:rFonts w:asciiTheme="minorEastAsia" w:hAnsiTheme="minorEastAsia" w:eastAsiaTheme="minorEastAsia"/>
                <w:color w:val="C00000"/>
                <w:sz w:val="24"/>
                <w:highlight w:val="none"/>
              </w:rPr>
            </w:pPr>
          </w:p>
        </w:tc>
        <w:tc>
          <w:tcPr>
            <w:tcW w:w="1783" w:type="pct"/>
            <w:shd w:val="clear" w:color="auto" w:fill="auto"/>
            <w:vAlign w:val="center"/>
          </w:tcPr>
          <w:p w14:paraId="6DED28E7">
            <w:pPr>
              <w:widowControl/>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因攻防演练扣分过多或</w:t>
            </w:r>
            <w:r>
              <w:rPr>
                <w:rFonts w:ascii="Segoe UI" w:hAnsi="Segoe UI" w:eastAsia="Segoe UI" w:cs="Segoe UI"/>
                <w:i w:val="0"/>
                <w:iCs w:val="0"/>
                <w:caps w:val="0"/>
                <w:color w:val="auto"/>
                <w:spacing w:val="0"/>
                <w:sz w:val="24"/>
                <w:szCs w:val="24"/>
                <w:highlight w:val="none"/>
                <w:shd w:val="clear" w:fill="FFFFFF"/>
              </w:rPr>
              <w:t>暴露出部分安全短板，我单位因此受到了上级监管机构的检查与通报</w:t>
            </w:r>
          </w:p>
        </w:tc>
        <w:tc>
          <w:tcPr>
            <w:tcW w:w="1633" w:type="pct"/>
            <w:shd w:val="clear" w:color="auto" w:fill="auto"/>
            <w:vAlign w:val="center"/>
          </w:tcPr>
          <w:p w14:paraId="5C09F519">
            <w:pPr>
              <w:widowControl/>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首次发生，扣除本年度安全服务合同金额</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%，第二次及以后，在上一次罚则的基础上，金额加</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w:t>
            </w:r>
          </w:p>
        </w:tc>
      </w:tr>
      <w:tr w14:paraId="49D6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61" w:type="pct"/>
            <w:shd w:val="clear" w:color="auto" w:fill="auto"/>
            <w:noWrap/>
            <w:vAlign w:val="center"/>
          </w:tcPr>
          <w:p w14:paraId="3EA2BCC1">
            <w:pPr>
              <w:widowControl/>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w:t>
            </w:r>
          </w:p>
        </w:tc>
        <w:tc>
          <w:tcPr>
            <w:tcW w:w="610" w:type="pct"/>
            <w:vMerge w:val="continue"/>
            <w:vAlign w:val="center"/>
          </w:tcPr>
          <w:p w14:paraId="784D7398">
            <w:pPr>
              <w:widowControl/>
              <w:jc w:val="left"/>
              <w:rPr>
                <w:rFonts w:asciiTheme="minorEastAsia" w:hAnsiTheme="minorEastAsia" w:eastAsiaTheme="minorEastAsia"/>
                <w:sz w:val="24"/>
              </w:rPr>
            </w:pPr>
          </w:p>
        </w:tc>
        <w:tc>
          <w:tcPr>
            <w:tcW w:w="610" w:type="pct"/>
            <w:vMerge w:val="restart"/>
            <w:shd w:val="clear" w:color="auto" w:fill="auto"/>
            <w:vAlign w:val="center"/>
          </w:tcPr>
          <w:p w14:paraId="491D1A5A">
            <w:pPr>
              <w:widowControl/>
              <w:jc w:val="left"/>
              <w:rPr>
                <w:rFonts w:asciiTheme="minorEastAsia" w:hAnsiTheme="minorEastAsia" w:eastAsiaTheme="minorEastAsia"/>
                <w:sz w:val="24"/>
              </w:rPr>
            </w:pPr>
            <w:r>
              <w:rPr>
                <w:rFonts w:hint="eastAsia" w:asciiTheme="minorEastAsia" w:hAnsiTheme="minorEastAsia" w:eastAsiaTheme="minorEastAsia"/>
                <w:sz w:val="24"/>
              </w:rPr>
              <w:t>终端安全</w:t>
            </w:r>
          </w:p>
        </w:tc>
        <w:tc>
          <w:tcPr>
            <w:tcW w:w="1783" w:type="pct"/>
            <w:shd w:val="clear" w:color="auto" w:fill="auto"/>
            <w:vAlign w:val="center"/>
          </w:tcPr>
          <w:p w14:paraId="22E1030C">
            <w:pPr>
              <w:widowControl/>
              <w:jc w:val="left"/>
              <w:rPr>
                <w:rFonts w:hint="eastAsia" w:asciiTheme="minorEastAsia" w:hAnsiTheme="minorEastAsia" w:eastAsiaTheme="minorEastAsia"/>
                <w:sz w:val="24"/>
              </w:rPr>
            </w:pPr>
            <w:r>
              <w:rPr>
                <w:rFonts w:hint="eastAsia" w:asciiTheme="minorEastAsia" w:hAnsiTheme="minorEastAsia" w:eastAsiaTheme="minorEastAsia"/>
                <w:sz w:val="24"/>
              </w:rPr>
              <w:t>发生内网终端安全病毒大面积传播，终端中病毒数量高于10%。</w:t>
            </w:r>
          </w:p>
        </w:tc>
        <w:tc>
          <w:tcPr>
            <w:tcW w:w="1633" w:type="pct"/>
            <w:shd w:val="clear" w:color="auto" w:fill="auto"/>
            <w:vAlign w:val="center"/>
          </w:tcPr>
          <w:p w14:paraId="126E7E08">
            <w:pPr>
              <w:widowControl/>
              <w:jc w:val="left"/>
              <w:rPr>
                <w:rFonts w:hint="eastAsia" w:asciiTheme="minorEastAsia" w:hAnsiTheme="minorEastAsia" w:eastAsiaTheme="minorEastAsia"/>
                <w:sz w:val="24"/>
              </w:rPr>
            </w:pPr>
            <w:r>
              <w:rPr>
                <w:rFonts w:hint="eastAsia" w:asciiTheme="minorEastAsia" w:hAnsiTheme="minorEastAsia" w:eastAsiaTheme="minorEastAsia"/>
                <w:sz w:val="24"/>
              </w:rPr>
              <w:t>首次发生，扣除本年度安全服务合同金额</w:t>
            </w:r>
            <w:r>
              <w:rPr>
                <w:rFonts w:asciiTheme="minorEastAsia" w:hAnsiTheme="minorEastAsia" w:eastAsiaTheme="minorEastAsia"/>
                <w:sz w:val="24"/>
              </w:rPr>
              <w:t>1</w:t>
            </w:r>
            <w:r>
              <w:rPr>
                <w:rFonts w:hint="eastAsia" w:asciiTheme="minorEastAsia" w:hAnsiTheme="minorEastAsia" w:eastAsiaTheme="minorEastAsia"/>
                <w:sz w:val="24"/>
              </w:rPr>
              <w:t>%，第二次及以后，在上一次罚则的基础上，金额加</w:t>
            </w:r>
            <w:r>
              <w:rPr>
                <w:rFonts w:asciiTheme="minorEastAsia" w:hAnsiTheme="minorEastAsia" w:eastAsiaTheme="minorEastAsia"/>
                <w:sz w:val="24"/>
              </w:rPr>
              <w:t>2</w:t>
            </w:r>
            <w:r>
              <w:rPr>
                <w:rFonts w:hint="eastAsia" w:asciiTheme="minorEastAsia" w:hAnsiTheme="minorEastAsia" w:eastAsiaTheme="minorEastAsia"/>
                <w:sz w:val="24"/>
              </w:rPr>
              <w:t>%。</w:t>
            </w:r>
          </w:p>
        </w:tc>
      </w:tr>
      <w:tr w14:paraId="3196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61" w:type="pct"/>
            <w:shd w:val="clear" w:color="auto" w:fill="auto"/>
            <w:noWrap/>
            <w:vAlign w:val="center"/>
          </w:tcPr>
          <w:p w14:paraId="4FA3BA79">
            <w:pPr>
              <w:widowControl/>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p>
        </w:tc>
        <w:tc>
          <w:tcPr>
            <w:tcW w:w="610" w:type="pct"/>
            <w:vMerge w:val="continue"/>
            <w:vAlign w:val="center"/>
          </w:tcPr>
          <w:p w14:paraId="30A06441">
            <w:pPr>
              <w:widowControl/>
              <w:jc w:val="left"/>
              <w:rPr>
                <w:rFonts w:asciiTheme="minorEastAsia" w:hAnsiTheme="minorEastAsia" w:eastAsiaTheme="minorEastAsia"/>
                <w:sz w:val="24"/>
              </w:rPr>
            </w:pPr>
          </w:p>
        </w:tc>
        <w:tc>
          <w:tcPr>
            <w:tcW w:w="610" w:type="pct"/>
            <w:vMerge w:val="continue"/>
            <w:shd w:val="clear" w:color="auto" w:fill="auto"/>
            <w:vAlign w:val="center"/>
          </w:tcPr>
          <w:p w14:paraId="690B9179">
            <w:pPr>
              <w:widowControl/>
              <w:jc w:val="left"/>
              <w:rPr>
                <w:rFonts w:asciiTheme="minorEastAsia" w:hAnsiTheme="minorEastAsia" w:eastAsiaTheme="minorEastAsia"/>
                <w:sz w:val="24"/>
              </w:rPr>
            </w:pPr>
          </w:p>
        </w:tc>
        <w:tc>
          <w:tcPr>
            <w:tcW w:w="1783" w:type="pct"/>
            <w:shd w:val="clear" w:color="auto" w:fill="auto"/>
            <w:vAlign w:val="center"/>
          </w:tcPr>
          <w:p w14:paraId="37E5F850">
            <w:pPr>
              <w:widowControl/>
              <w:jc w:val="left"/>
              <w:rPr>
                <w:rFonts w:asciiTheme="minorEastAsia" w:hAnsiTheme="minorEastAsia" w:eastAsiaTheme="minorEastAsia"/>
                <w:sz w:val="24"/>
              </w:rPr>
            </w:pPr>
            <w:r>
              <w:rPr>
                <w:rFonts w:hint="eastAsia" w:asciiTheme="minorEastAsia" w:hAnsiTheme="minorEastAsia" w:eastAsiaTheme="minorEastAsia"/>
                <w:sz w:val="24"/>
              </w:rPr>
              <w:t>因终端安全问题造成业务部门业务中断或门急诊业务中断。</w:t>
            </w:r>
          </w:p>
        </w:tc>
        <w:tc>
          <w:tcPr>
            <w:tcW w:w="1633" w:type="pct"/>
            <w:shd w:val="clear" w:color="auto" w:fill="auto"/>
            <w:vAlign w:val="center"/>
          </w:tcPr>
          <w:p w14:paraId="6C16FB30">
            <w:pPr>
              <w:widowControl/>
              <w:jc w:val="left"/>
              <w:rPr>
                <w:rFonts w:asciiTheme="minorEastAsia" w:hAnsiTheme="minorEastAsia" w:eastAsiaTheme="minorEastAsia"/>
                <w:sz w:val="24"/>
              </w:rPr>
            </w:pPr>
            <w:r>
              <w:rPr>
                <w:rFonts w:hint="eastAsia" w:asciiTheme="minorEastAsia" w:hAnsiTheme="minorEastAsia" w:eastAsiaTheme="minorEastAsia"/>
                <w:sz w:val="24"/>
              </w:rPr>
              <w:t>业务部门业务中断超过1小时未修复，门急诊业务中断超过0.5小时未修复，扣除本年度安全服务合同金额</w:t>
            </w:r>
            <w:r>
              <w:rPr>
                <w:rFonts w:asciiTheme="minorEastAsia" w:hAnsiTheme="minorEastAsia" w:eastAsiaTheme="minorEastAsia"/>
                <w:sz w:val="24"/>
              </w:rPr>
              <w:t>1</w:t>
            </w:r>
            <w:r>
              <w:rPr>
                <w:rFonts w:hint="eastAsia" w:asciiTheme="minorEastAsia" w:hAnsiTheme="minorEastAsia" w:eastAsiaTheme="minorEastAsia"/>
                <w:sz w:val="24"/>
              </w:rPr>
              <w:t>%；业务部门业务中断超过2小时未修复，门急诊业务中断超过1小时未修复，扣除本年度安全服务合同金额</w:t>
            </w:r>
            <w:r>
              <w:rPr>
                <w:rFonts w:asciiTheme="minorEastAsia" w:hAnsiTheme="minorEastAsia" w:eastAsiaTheme="minorEastAsia"/>
                <w:sz w:val="24"/>
              </w:rPr>
              <w:t>2</w:t>
            </w:r>
            <w:r>
              <w:rPr>
                <w:rFonts w:hint="eastAsia" w:asciiTheme="minorEastAsia" w:hAnsiTheme="minorEastAsia" w:eastAsiaTheme="minorEastAsia"/>
                <w:sz w:val="24"/>
              </w:rPr>
              <w:t>%；</w:t>
            </w:r>
          </w:p>
        </w:tc>
      </w:tr>
      <w:tr w14:paraId="6075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61" w:type="pct"/>
            <w:shd w:val="clear" w:color="auto" w:fill="auto"/>
            <w:noWrap/>
            <w:vAlign w:val="center"/>
          </w:tcPr>
          <w:p w14:paraId="05407FA5">
            <w:pPr>
              <w:widowControl/>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610" w:type="pct"/>
            <w:vMerge w:val="restart"/>
            <w:shd w:val="clear" w:color="auto" w:fill="auto"/>
            <w:vAlign w:val="center"/>
          </w:tcPr>
          <w:p w14:paraId="31832F86">
            <w:pPr>
              <w:widowControl/>
              <w:jc w:val="center"/>
              <w:rPr>
                <w:rFonts w:asciiTheme="minorEastAsia" w:hAnsiTheme="minorEastAsia" w:eastAsiaTheme="minorEastAsia"/>
                <w:sz w:val="24"/>
              </w:rPr>
            </w:pPr>
            <w:r>
              <w:rPr>
                <w:rFonts w:hint="eastAsia" w:asciiTheme="minorEastAsia" w:hAnsiTheme="minorEastAsia" w:eastAsiaTheme="minorEastAsia"/>
                <w:sz w:val="24"/>
              </w:rPr>
              <w:t>质量</w:t>
            </w:r>
          </w:p>
        </w:tc>
        <w:tc>
          <w:tcPr>
            <w:tcW w:w="610" w:type="pct"/>
            <w:shd w:val="clear" w:color="auto" w:fill="auto"/>
            <w:vAlign w:val="center"/>
          </w:tcPr>
          <w:p w14:paraId="7DE7057D">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服务文档质量 </w:t>
            </w:r>
          </w:p>
        </w:tc>
        <w:tc>
          <w:tcPr>
            <w:tcW w:w="1783" w:type="pct"/>
            <w:shd w:val="clear" w:color="auto" w:fill="auto"/>
            <w:vAlign w:val="center"/>
          </w:tcPr>
          <w:p w14:paraId="46CFCBD7">
            <w:pPr>
              <w:widowControl/>
              <w:jc w:val="left"/>
              <w:rPr>
                <w:rFonts w:asciiTheme="minorEastAsia" w:hAnsiTheme="minorEastAsia" w:eastAsiaTheme="minorEastAsia"/>
                <w:sz w:val="24"/>
              </w:rPr>
            </w:pPr>
            <w:r>
              <w:rPr>
                <w:rFonts w:hint="eastAsia" w:asciiTheme="minorEastAsia" w:hAnsiTheme="minorEastAsia" w:eastAsiaTheme="minorEastAsia"/>
                <w:sz w:val="24"/>
              </w:rPr>
              <w:t>交付文档的质量不能满足客户模板及内容要求的</w:t>
            </w:r>
          </w:p>
        </w:tc>
        <w:tc>
          <w:tcPr>
            <w:tcW w:w="1633" w:type="pct"/>
            <w:shd w:val="clear" w:color="auto" w:fill="auto"/>
            <w:vAlign w:val="center"/>
          </w:tcPr>
          <w:p w14:paraId="216EB095">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w:t>
            </w:r>
            <w:r>
              <w:rPr>
                <w:rFonts w:asciiTheme="minorEastAsia" w:hAnsiTheme="minorEastAsia" w:eastAsiaTheme="minorEastAsia"/>
                <w:sz w:val="24"/>
              </w:rPr>
              <w:t>1</w:t>
            </w:r>
            <w:r>
              <w:rPr>
                <w:rFonts w:hint="eastAsia" w:asciiTheme="minorEastAsia" w:hAnsiTheme="minorEastAsia" w:eastAsiaTheme="minorEastAsia"/>
                <w:sz w:val="24"/>
              </w:rPr>
              <w:t>%，第二次及以后，在上一次罚则的基础上，金额加20%，每次罚款金额以0.5%为上限。</w:t>
            </w:r>
          </w:p>
        </w:tc>
      </w:tr>
      <w:tr w14:paraId="174F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61" w:type="pct"/>
            <w:shd w:val="clear" w:color="auto" w:fill="auto"/>
            <w:noWrap/>
            <w:vAlign w:val="center"/>
          </w:tcPr>
          <w:p w14:paraId="432AD5DC">
            <w:pPr>
              <w:widowControl/>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c>
          <w:tcPr>
            <w:tcW w:w="610" w:type="pct"/>
            <w:vMerge w:val="continue"/>
            <w:vAlign w:val="center"/>
          </w:tcPr>
          <w:p w14:paraId="0FC151A0">
            <w:pPr>
              <w:widowControl/>
              <w:jc w:val="left"/>
              <w:rPr>
                <w:rFonts w:asciiTheme="minorEastAsia" w:hAnsiTheme="minorEastAsia" w:eastAsiaTheme="minorEastAsia"/>
                <w:sz w:val="24"/>
              </w:rPr>
            </w:pPr>
          </w:p>
        </w:tc>
        <w:tc>
          <w:tcPr>
            <w:tcW w:w="610" w:type="pct"/>
            <w:shd w:val="clear" w:color="auto" w:fill="auto"/>
            <w:vAlign w:val="center"/>
          </w:tcPr>
          <w:p w14:paraId="5F1F2683">
            <w:pPr>
              <w:widowControl/>
              <w:jc w:val="left"/>
              <w:rPr>
                <w:rFonts w:asciiTheme="minorEastAsia" w:hAnsiTheme="minorEastAsia" w:eastAsiaTheme="minorEastAsia"/>
                <w:sz w:val="24"/>
              </w:rPr>
            </w:pPr>
            <w:r>
              <w:rPr>
                <w:rFonts w:hint="eastAsia" w:asciiTheme="minorEastAsia" w:hAnsiTheme="minorEastAsia" w:eastAsiaTheme="minorEastAsia"/>
                <w:sz w:val="24"/>
              </w:rPr>
              <w:t>问题解决质量</w:t>
            </w:r>
          </w:p>
        </w:tc>
        <w:tc>
          <w:tcPr>
            <w:tcW w:w="1783" w:type="pct"/>
            <w:shd w:val="clear" w:color="auto" w:fill="auto"/>
            <w:vAlign w:val="center"/>
          </w:tcPr>
          <w:p w14:paraId="3FB086F0">
            <w:pPr>
              <w:widowControl/>
              <w:jc w:val="left"/>
              <w:rPr>
                <w:rFonts w:asciiTheme="minorEastAsia" w:hAnsiTheme="minorEastAsia" w:eastAsiaTheme="minorEastAsia"/>
                <w:sz w:val="24"/>
              </w:rPr>
            </w:pPr>
            <w:r>
              <w:rPr>
                <w:rFonts w:hint="eastAsia" w:asciiTheme="minorEastAsia" w:hAnsiTheme="minorEastAsia" w:eastAsiaTheme="minorEastAsia"/>
                <w:sz w:val="24"/>
              </w:rPr>
              <w:t>发生服务质量问题后，是否能够给出合理的解释，以及完整、有效的解决方案。不能给出相关方案的。</w:t>
            </w:r>
          </w:p>
        </w:tc>
        <w:tc>
          <w:tcPr>
            <w:tcW w:w="1633" w:type="pct"/>
            <w:shd w:val="clear" w:color="auto" w:fill="auto"/>
            <w:vAlign w:val="center"/>
          </w:tcPr>
          <w:p w14:paraId="7E579E58">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w:t>
            </w:r>
            <w:r>
              <w:rPr>
                <w:rFonts w:asciiTheme="minorEastAsia" w:hAnsiTheme="minorEastAsia" w:eastAsiaTheme="minorEastAsia"/>
                <w:sz w:val="24"/>
              </w:rPr>
              <w:t>1</w:t>
            </w:r>
            <w:r>
              <w:rPr>
                <w:rFonts w:hint="eastAsia" w:asciiTheme="minorEastAsia" w:hAnsiTheme="minorEastAsia" w:eastAsiaTheme="minorEastAsia"/>
                <w:sz w:val="24"/>
              </w:rPr>
              <w:t>%，第二次及以后，在上一次罚则的基础上，金额加20%，每次罚款金额以0.5%为上限。</w:t>
            </w:r>
          </w:p>
        </w:tc>
      </w:tr>
      <w:tr w14:paraId="4561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1" w:type="pct"/>
            <w:shd w:val="clear" w:color="auto" w:fill="auto"/>
            <w:noWrap/>
            <w:vAlign w:val="center"/>
          </w:tcPr>
          <w:p w14:paraId="13528C30">
            <w:pPr>
              <w:widowControl/>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p>
        </w:tc>
        <w:tc>
          <w:tcPr>
            <w:tcW w:w="610" w:type="pct"/>
            <w:vMerge w:val="restart"/>
            <w:shd w:val="clear" w:color="auto" w:fill="auto"/>
            <w:vAlign w:val="center"/>
          </w:tcPr>
          <w:p w14:paraId="36428A37">
            <w:pPr>
              <w:widowControl/>
              <w:jc w:val="center"/>
              <w:rPr>
                <w:rFonts w:asciiTheme="minorEastAsia" w:hAnsiTheme="minorEastAsia" w:eastAsiaTheme="minorEastAsia"/>
                <w:sz w:val="24"/>
              </w:rPr>
            </w:pPr>
            <w:r>
              <w:rPr>
                <w:rFonts w:hint="eastAsia" w:asciiTheme="minorEastAsia" w:hAnsiTheme="minorEastAsia" w:eastAsiaTheme="minorEastAsia"/>
                <w:sz w:val="24"/>
              </w:rPr>
              <w:t>服务</w:t>
            </w:r>
          </w:p>
        </w:tc>
        <w:tc>
          <w:tcPr>
            <w:tcW w:w="610" w:type="pct"/>
            <w:shd w:val="clear" w:color="auto" w:fill="auto"/>
            <w:vAlign w:val="center"/>
          </w:tcPr>
          <w:p w14:paraId="5CD84137">
            <w:pPr>
              <w:widowControl/>
              <w:jc w:val="left"/>
              <w:rPr>
                <w:rFonts w:asciiTheme="minorEastAsia" w:hAnsiTheme="minorEastAsia" w:eastAsiaTheme="minorEastAsia"/>
                <w:sz w:val="24"/>
              </w:rPr>
            </w:pPr>
            <w:r>
              <w:rPr>
                <w:rFonts w:hint="eastAsia" w:asciiTheme="minorEastAsia" w:hAnsiTheme="minorEastAsia" w:eastAsiaTheme="minorEastAsia"/>
                <w:sz w:val="24"/>
              </w:rPr>
              <w:t>服务专业性</w:t>
            </w:r>
          </w:p>
        </w:tc>
        <w:tc>
          <w:tcPr>
            <w:tcW w:w="1783" w:type="pct"/>
            <w:shd w:val="clear" w:color="auto" w:fill="auto"/>
            <w:vAlign w:val="center"/>
          </w:tcPr>
          <w:p w14:paraId="34AE63B7">
            <w:pPr>
              <w:widowControl/>
              <w:jc w:val="left"/>
              <w:rPr>
                <w:rFonts w:asciiTheme="minorEastAsia" w:hAnsiTheme="minorEastAsia" w:eastAsiaTheme="minorEastAsia"/>
                <w:sz w:val="24"/>
              </w:rPr>
            </w:pPr>
            <w:r>
              <w:rPr>
                <w:rFonts w:hint="eastAsia" w:asciiTheme="minorEastAsia" w:hAnsiTheme="minorEastAsia" w:eastAsiaTheme="minorEastAsia"/>
                <w:sz w:val="24"/>
              </w:rPr>
              <w:t>服务人员是否具备相应技术素质和工作能力，出现不满足技术要求的。</w:t>
            </w:r>
          </w:p>
        </w:tc>
        <w:tc>
          <w:tcPr>
            <w:tcW w:w="1633" w:type="pct"/>
            <w:shd w:val="clear" w:color="auto" w:fill="auto"/>
            <w:vAlign w:val="center"/>
          </w:tcPr>
          <w:p w14:paraId="005AECD7">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w:t>
            </w:r>
            <w:r>
              <w:rPr>
                <w:rFonts w:asciiTheme="minorEastAsia" w:hAnsiTheme="minorEastAsia" w:eastAsiaTheme="minorEastAsia"/>
                <w:sz w:val="24"/>
              </w:rPr>
              <w:t>1</w:t>
            </w:r>
            <w:r>
              <w:rPr>
                <w:rFonts w:hint="eastAsia" w:asciiTheme="minorEastAsia" w:hAnsiTheme="minorEastAsia" w:eastAsiaTheme="minorEastAsia"/>
                <w:sz w:val="24"/>
              </w:rPr>
              <w:t>%，第二次及以后，在上一次罚则的基础上，金额加20%，每次罚款金额以0.5%为上限。</w:t>
            </w:r>
          </w:p>
        </w:tc>
      </w:tr>
      <w:tr w14:paraId="2165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361" w:type="pct"/>
            <w:shd w:val="clear" w:color="auto" w:fill="auto"/>
            <w:noWrap/>
            <w:vAlign w:val="center"/>
          </w:tcPr>
          <w:p w14:paraId="3AD8FF89">
            <w:pPr>
              <w:widowControl/>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8</w:t>
            </w:r>
          </w:p>
        </w:tc>
        <w:tc>
          <w:tcPr>
            <w:tcW w:w="610" w:type="pct"/>
            <w:vMerge w:val="continue"/>
            <w:vAlign w:val="center"/>
          </w:tcPr>
          <w:p w14:paraId="0C673E32">
            <w:pPr>
              <w:widowControl/>
              <w:jc w:val="left"/>
              <w:rPr>
                <w:rFonts w:asciiTheme="minorEastAsia" w:hAnsiTheme="minorEastAsia" w:eastAsiaTheme="minorEastAsia"/>
                <w:sz w:val="24"/>
              </w:rPr>
            </w:pPr>
          </w:p>
        </w:tc>
        <w:tc>
          <w:tcPr>
            <w:tcW w:w="610" w:type="pct"/>
            <w:shd w:val="clear" w:color="auto" w:fill="auto"/>
            <w:vAlign w:val="center"/>
          </w:tcPr>
          <w:p w14:paraId="2D4B2769">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服务及时性 </w:t>
            </w:r>
          </w:p>
        </w:tc>
        <w:tc>
          <w:tcPr>
            <w:tcW w:w="1783" w:type="pct"/>
            <w:shd w:val="clear" w:color="auto" w:fill="auto"/>
            <w:vAlign w:val="center"/>
          </w:tcPr>
          <w:p w14:paraId="75B6FB8E">
            <w:pPr>
              <w:widowControl/>
              <w:jc w:val="left"/>
              <w:rPr>
                <w:rFonts w:asciiTheme="minorEastAsia" w:hAnsiTheme="minorEastAsia" w:eastAsiaTheme="minorEastAsia"/>
                <w:sz w:val="24"/>
              </w:rPr>
            </w:pPr>
            <w:r>
              <w:rPr>
                <w:rFonts w:hint="eastAsia" w:asciiTheme="minorEastAsia" w:hAnsiTheme="minorEastAsia" w:eastAsiaTheme="minorEastAsia"/>
                <w:sz w:val="24"/>
              </w:rPr>
              <w:t>是否按照既定时间完成服务成果提交，出现不满足要求的。</w:t>
            </w:r>
          </w:p>
        </w:tc>
        <w:tc>
          <w:tcPr>
            <w:tcW w:w="1633" w:type="pct"/>
            <w:shd w:val="clear" w:color="auto" w:fill="auto"/>
            <w:vAlign w:val="center"/>
          </w:tcPr>
          <w:p w14:paraId="44B99E50">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首次发生，扣除本年度安全服务合同金额0.0</w:t>
            </w:r>
            <w:r>
              <w:rPr>
                <w:rFonts w:asciiTheme="minorEastAsia" w:hAnsiTheme="minorEastAsia" w:eastAsiaTheme="minorEastAsia"/>
                <w:sz w:val="24"/>
              </w:rPr>
              <w:t>5</w:t>
            </w:r>
            <w:r>
              <w:rPr>
                <w:rFonts w:hint="eastAsia" w:asciiTheme="minorEastAsia" w:hAnsiTheme="minorEastAsia" w:eastAsiaTheme="minorEastAsia"/>
                <w:sz w:val="24"/>
              </w:rPr>
              <w:t>%，第二次及以后，在上一次罚则的基础上，金额加20%，每次罚款金额以0.5%为上限。</w:t>
            </w:r>
          </w:p>
        </w:tc>
      </w:tr>
      <w:tr w14:paraId="5B74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61" w:type="pct"/>
            <w:shd w:val="clear" w:color="auto" w:fill="auto"/>
            <w:noWrap/>
            <w:vAlign w:val="center"/>
          </w:tcPr>
          <w:p w14:paraId="2D3E855C">
            <w:pPr>
              <w:widowControl/>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9</w:t>
            </w:r>
          </w:p>
        </w:tc>
        <w:tc>
          <w:tcPr>
            <w:tcW w:w="610" w:type="pct"/>
            <w:vMerge w:val="continue"/>
            <w:vAlign w:val="center"/>
          </w:tcPr>
          <w:p w14:paraId="6B905522">
            <w:pPr>
              <w:widowControl/>
              <w:jc w:val="left"/>
              <w:rPr>
                <w:rFonts w:asciiTheme="minorEastAsia" w:hAnsiTheme="minorEastAsia" w:eastAsiaTheme="minorEastAsia"/>
                <w:sz w:val="24"/>
              </w:rPr>
            </w:pPr>
          </w:p>
        </w:tc>
        <w:tc>
          <w:tcPr>
            <w:tcW w:w="610" w:type="pct"/>
            <w:shd w:val="clear" w:color="auto" w:fill="auto"/>
            <w:vAlign w:val="center"/>
          </w:tcPr>
          <w:p w14:paraId="5C644148">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服务态度 </w:t>
            </w:r>
          </w:p>
        </w:tc>
        <w:tc>
          <w:tcPr>
            <w:tcW w:w="1783" w:type="pct"/>
            <w:shd w:val="clear" w:color="auto" w:fill="auto"/>
            <w:vAlign w:val="center"/>
          </w:tcPr>
          <w:p w14:paraId="13AB3738">
            <w:pPr>
              <w:widowControl/>
              <w:jc w:val="left"/>
              <w:rPr>
                <w:rFonts w:asciiTheme="minorEastAsia" w:hAnsiTheme="minorEastAsia" w:eastAsiaTheme="minorEastAsia"/>
                <w:sz w:val="24"/>
              </w:rPr>
            </w:pPr>
            <w:r>
              <w:rPr>
                <w:rFonts w:hint="eastAsia" w:asciiTheme="minorEastAsia" w:hAnsiTheme="minorEastAsia" w:eastAsiaTheme="minorEastAsia"/>
                <w:sz w:val="24"/>
              </w:rPr>
              <w:t>服务人员因工作态度问题被友邻部门投诉。</w:t>
            </w:r>
          </w:p>
        </w:tc>
        <w:tc>
          <w:tcPr>
            <w:tcW w:w="1633" w:type="pct"/>
            <w:shd w:val="clear" w:color="auto" w:fill="auto"/>
            <w:vAlign w:val="center"/>
          </w:tcPr>
          <w:p w14:paraId="4D974919">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首次发生，扣除本年度安全服务合同金额0.0</w:t>
            </w:r>
            <w:r>
              <w:rPr>
                <w:rFonts w:asciiTheme="minorEastAsia" w:hAnsiTheme="minorEastAsia" w:eastAsiaTheme="minorEastAsia"/>
                <w:sz w:val="24"/>
              </w:rPr>
              <w:t>5</w:t>
            </w:r>
            <w:r>
              <w:rPr>
                <w:rFonts w:hint="eastAsia" w:asciiTheme="minorEastAsia" w:hAnsiTheme="minorEastAsia" w:eastAsiaTheme="minorEastAsia"/>
                <w:sz w:val="24"/>
              </w:rPr>
              <w:t>%，第二次及以后，在上一次罚则的基础上，金额加20%，每次罚款金额以0.5%为上限。</w:t>
            </w:r>
          </w:p>
        </w:tc>
      </w:tr>
      <w:tr w14:paraId="1965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361" w:type="pct"/>
            <w:shd w:val="clear" w:color="auto" w:fill="auto"/>
            <w:noWrap/>
            <w:vAlign w:val="center"/>
          </w:tcPr>
          <w:p w14:paraId="58E1602A">
            <w:pPr>
              <w:widowControl/>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w:t>
            </w:r>
          </w:p>
        </w:tc>
        <w:tc>
          <w:tcPr>
            <w:tcW w:w="610" w:type="pct"/>
            <w:vMerge w:val="continue"/>
            <w:vAlign w:val="center"/>
          </w:tcPr>
          <w:p w14:paraId="7C62045B">
            <w:pPr>
              <w:widowControl/>
              <w:jc w:val="left"/>
              <w:rPr>
                <w:rFonts w:asciiTheme="minorEastAsia" w:hAnsiTheme="minorEastAsia" w:eastAsiaTheme="minorEastAsia"/>
                <w:sz w:val="24"/>
              </w:rPr>
            </w:pPr>
          </w:p>
        </w:tc>
        <w:tc>
          <w:tcPr>
            <w:tcW w:w="610" w:type="pct"/>
            <w:shd w:val="clear" w:color="auto" w:fill="auto"/>
            <w:vAlign w:val="center"/>
          </w:tcPr>
          <w:p w14:paraId="2199E56E">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服务满意度 </w:t>
            </w:r>
          </w:p>
        </w:tc>
        <w:tc>
          <w:tcPr>
            <w:tcW w:w="1783" w:type="pct"/>
            <w:shd w:val="clear" w:color="auto" w:fill="auto"/>
            <w:vAlign w:val="center"/>
          </w:tcPr>
          <w:p w14:paraId="56E53F09">
            <w:pPr>
              <w:widowControl/>
              <w:jc w:val="left"/>
              <w:rPr>
                <w:rFonts w:asciiTheme="minorEastAsia" w:hAnsiTheme="minorEastAsia" w:eastAsiaTheme="minorEastAsia"/>
                <w:sz w:val="24"/>
              </w:rPr>
            </w:pPr>
            <w:r>
              <w:rPr>
                <w:rFonts w:hint="eastAsia" w:asciiTheme="minorEastAsia" w:hAnsiTheme="minorEastAsia" w:eastAsiaTheme="minorEastAsia"/>
                <w:sz w:val="24"/>
              </w:rPr>
              <w:t>每季度开展1次服务满意度调研，若服务满意度为不满意。</w:t>
            </w:r>
          </w:p>
        </w:tc>
        <w:tc>
          <w:tcPr>
            <w:tcW w:w="1633" w:type="pct"/>
            <w:shd w:val="clear" w:color="auto" w:fill="auto"/>
            <w:vAlign w:val="center"/>
          </w:tcPr>
          <w:p w14:paraId="756C779E">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首次发生，扣除本年度安全服务合同金额0.0</w:t>
            </w:r>
            <w:r>
              <w:rPr>
                <w:rFonts w:asciiTheme="minorEastAsia" w:hAnsiTheme="minorEastAsia" w:eastAsiaTheme="minorEastAsia"/>
                <w:sz w:val="24"/>
              </w:rPr>
              <w:t>5</w:t>
            </w:r>
            <w:r>
              <w:rPr>
                <w:rFonts w:hint="eastAsia" w:asciiTheme="minorEastAsia" w:hAnsiTheme="minorEastAsia" w:eastAsiaTheme="minorEastAsia"/>
                <w:sz w:val="24"/>
              </w:rPr>
              <w:t>%，第二次及以后，在上一次罚则的基础上，金额加20%，每次罚款金额以0.5%为上限。</w:t>
            </w:r>
          </w:p>
        </w:tc>
      </w:tr>
    </w:tbl>
    <w:p w14:paraId="08CF41DA">
      <w:pPr>
        <w:rPr>
          <w:rFonts w:ascii="宋体" w:hAnsi="宋体"/>
          <w:sz w:val="28"/>
          <w:szCs w:val="28"/>
        </w:rPr>
      </w:pPr>
      <w:r>
        <w:rPr>
          <w:rFonts w:hint="eastAsia" w:ascii="宋体" w:hAnsi="宋体"/>
          <w:sz w:val="28"/>
          <w:szCs w:val="28"/>
        </w:rPr>
        <w:t>在服务期间内出现以下场景，中标方需要向医院支付服务违约金：</w:t>
      </w:r>
    </w:p>
    <w:p w14:paraId="6C40BEFB">
      <w:pPr>
        <w:ind w:firstLine="280" w:firstLineChars="100"/>
        <w:rPr>
          <w:rFonts w:ascii="宋体" w:hAnsi="宋体"/>
          <w:sz w:val="28"/>
          <w:szCs w:val="28"/>
        </w:rPr>
      </w:pPr>
      <w:r>
        <w:rPr>
          <w:rFonts w:hint="eastAsia" w:ascii="宋体" w:hAnsi="宋体"/>
          <w:sz w:val="28"/>
          <w:szCs w:val="28"/>
        </w:rPr>
        <w:t>一、</w:t>
      </w:r>
      <w:r>
        <w:rPr>
          <w:rFonts w:ascii="宋体" w:hAnsi="宋体"/>
          <w:sz w:val="28"/>
          <w:szCs w:val="28"/>
        </w:rPr>
        <w:t>网络勒索损失</w:t>
      </w:r>
    </w:p>
    <w:p w14:paraId="7E175256">
      <w:pPr>
        <w:ind w:firstLine="565" w:firstLineChars="202"/>
        <w:rPr>
          <w:rFonts w:ascii="宋体" w:hAnsi="宋体"/>
          <w:sz w:val="28"/>
          <w:szCs w:val="28"/>
        </w:rPr>
      </w:pPr>
      <w:r>
        <w:rPr>
          <w:rFonts w:hint="eastAsia" w:ascii="宋体" w:hAnsi="宋体"/>
          <w:sz w:val="28"/>
          <w:szCs w:val="28"/>
        </w:rPr>
        <w:t>在服务期间内，我院发生网络安全事件受网络攻击、网络安全威胁而被勒索、敲诈，导致产生下列损失和费用，中标方</w:t>
      </w:r>
      <w:r>
        <w:rPr>
          <w:rFonts w:ascii="宋体" w:hAnsi="宋体"/>
          <w:sz w:val="28"/>
          <w:szCs w:val="28"/>
        </w:rPr>
        <w:t>需进行全额赔付：</w:t>
      </w:r>
      <w:r>
        <w:rPr>
          <w:rFonts w:hint="eastAsia" w:ascii="宋体" w:hAnsi="宋体"/>
          <w:sz w:val="28"/>
          <w:szCs w:val="28"/>
        </w:rPr>
        <w:t>赎金、咨询处理网络勒索事件第三方专业机构的费用以及对能提供逮捕、</w:t>
      </w:r>
      <w:r>
        <w:rPr>
          <w:rFonts w:ascii="宋体" w:hAnsi="宋体"/>
          <w:sz w:val="28"/>
          <w:szCs w:val="28"/>
        </w:rPr>
        <w:t>定罪勒索人信息的举报人的奖励。</w:t>
      </w:r>
    </w:p>
    <w:p w14:paraId="431A68C5">
      <w:pPr>
        <w:ind w:firstLine="280" w:firstLineChars="100"/>
        <w:rPr>
          <w:rFonts w:ascii="宋体" w:hAnsi="宋体"/>
          <w:sz w:val="28"/>
          <w:szCs w:val="28"/>
        </w:rPr>
      </w:pPr>
      <w:r>
        <w:rPr>
          <w:rFonts w:hint="eastAsia" w:ascii="宋体" w:hAnsi="宋体"/>
          <w:sz w:val="28"/>
          <w:szCs w:val="28"/>
        </w:rPr>
        <w:t>二、</w:t>
      </w:r>
      <w:r>
        <w:rPr>
          <w:rFonts w:ascii="宋体" w:hAnsi="宋体"/>
          <w:sz w:val="28"/>
          <w:szCs w:val="28"/>
        </w:rPr>
        <w:t>安全工作不利被开罚单损失</w:t>
      </w:r>
    </w:p>
    <w:p w14:paraId="6FE132F1">
      <w:pPr>
        <w:ind w:firstLine="565" w:firstLineChars="202"/>
        <w:rPr>
          <w:rFonts w:ascii="宋体" w:hAnsi="宋体"/>
          <w:sz w:val="28"/>
          <w:szCs w:val="28"/>
        </w:rPr>
      </w:pPr>
      <w:r>
        <w:rPr>
          <w:rFonts w:hint="eastAsia" w:ascii="宋体" w:hAnsi="宋体"/>
          <w:sz w:val="28"/>
          <w:szCs w:val="28"/>
        </w:rPr>
        <w:t>因网络安全工作开展不利（如日志留存不符合要求、存在重大高危漏洞等），导致医院被第三方检查机构或</w:t>
      </w:r>
      <w:r>
        <w:rPr>
          <w:rFonts w:ascii="宋体" w:hAnsi="宋体"/>
          <w:sz w:val="28"/>
          <w:szCs w:val="28"/>
        </w:rPr>
        <w:t>监管机构开</w:t>
      </w:r>
      <w:r>
        <w:rPr>
          <w:rFonts w:hint="eastAsia" w:ascii="宋体" w:hAnsi="宋体"/>
          <w:sz w:val="28"/>
          <w:szCs w:val="28"/>
        </w:rPr>
        <w:t>出</w:t>
      </w:r>
      <w:r>
        <w:rPr>
          <w:rFonts w:ascii="宋体" w:hAnsi="宋体"/>
          <w:sz w:val="28"/>
          <w:szCs w:val="28"/>
        </w:rPr>
        <w:t>网络安全罚单，</w:t>
      </w:r>
      <w:r>
        <w:rPr>
          <w:rFonts w:hint="eastAsia" w:ascii="宋体" w:hAnsi="宋体"/>
          <w:sz w:val="28"/>
          <w:szCs w:val="28"/>
        </w:rPr>
        <w:t>中标方</w:t>
      </w:r>
      <w:r>
        <w:rPr>
          <w:rFonts w:ascii="宋体" w:hAnsi="宋体"/>
          <w:sz w:val="28"/>
          <w:szCs w:val="28"/>
        </w:rPr>
        <w:t>对罚单金额进行全额赔付。</w:t>
      </w:r>
    </w:p>
    <w:p w14:paraId="151DB8A9">
      <w:pPr>
        <w:ind w:firstLine="280" w:firstLineChars="100"/>
        <w:rPr>
          <w:rFonts w:ascii="宋体" w:hAnsi="宋体"/>
          <w:sz w:val="28"/>
          <w:szCs w:val="28"/>
        </w:rPr>
      </w:pPr>
      <w:r>
        <w:rPr>
          <w:rFonts w:hint="eastAsia" w:ascii="宋体" w:hAnsi="宋体"/>
          <w:sz w:val="28"/>
          <w:szCs w:val="28"/>
        </w:rPr>
        <w:t>三、数据丢失泄露损失</w:t>
      </w:r>
    </w:p>
    <w:p w14:paraId="7A802AA4">
      <w:pPr>
        <w:ind w:firstLine="565" w:firstLineChars="202"/>
        <w:rPr>
          <w:rFonts w:hint="eastAsia" w:ascii="宋体" w:hAnsi="宋体"/>
          <w:sz w:val="28"/>
          <w:szCs w:val="28"/>
        </w:rPr>
      </w:pPr>
      <w:r>
        <w:rPr>
          <w:rFonts w:hint="eastAsia" w:ascii="宋体" w:hAnsi="宋体"/>
          <w:sz w:val="28"/>
          <w:szCs w:val="28"/>
        </w:rPr>
        <w:t>在服务期间内，因本地运维人员未及时监测并阻断黑客入侵等攻击行为，造成医疗数据丢失泄露所产生损失和费用，中标方需进行全额赔付并对数据进行修复找回。</w:t>
      </w:r>
    </w:p>
    <w:p w14:paraId="4FBCCC15">
      <w:pPr>
        <w:ind w:firstLine="439" w:firstLineChars="157"/>
        <w:rPr>
          <w:rFonts w:hint="default" w:ascii="宋体" w:hAnsi="宋体"/>
          <w:bCs/>
          <w:sz w:val="28"/>
          <w:szCs w:val="28"/>
          <w:lang w:val="en-US" w:eastAsia="zh-CN"/>
        </w:rPr>
      </w:pPr>
      <w:r>
        <w:rPr>
          <w:rFonts w:hint="eastAsia" w:ascii="宋体" w:hAnsi="宋体"/>
          <w:bCs/>
          <w:sz w:val="28"/>
          <w:szCs w:val="28"/>
          <w:lang w:val="en-US" w:eastAsia="zh-CN"/>
        </w:rPr>
        <w:t>5、报价清单</w:t>
      </w:r>
    </w:p>
    <w:tbl>
      <w:tblPr>
        <w:tblStyle w:val="26"/>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484"/>
        <w:gridCol w:w="827"/>
        <w:gridCol w:w="1623"/>
        <w:gridCol w:w="1658"/>
      </w:tblGrid>
      <w:tr w14:paraId="679B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6" w:type="dxa"/>
            <w:noWrap w:val="0"/>
            <w:vAlign w:val="center"/>
          </w:tcPr>
          <w:p w14:paraId="3A3BE517">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484" w:type="dxa"/>
            <w:noWrap w:val="0"/>
            <w:vAlign w:val="center"/>
          </w:tcPr>
          <w:p w14:paraId="4F5C2843">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827" w:type="dxa"/>
            <w:noWrap w:val="0"/>
            <w:vAlign w:val="center"/>
          </w:tcPr>
          <w:p w14:paraId="0972E802">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623" w:type="dxa"/>
            <w:noWrap w:val="0"/>
            <w:vAlign w:val="center"/>
          </w:tcPr>
          <w:p w14:paraId="6242FF27">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单价（元）</w:t>
            </w:r>
          </w:p>
        </w:tc>
        <w:tc>
          <w:tcPr>
            <w:tcW w:w="1658" w:type="dxa"/>
            <w:noWrap w:val="0"/>
            <w:vAlign w:val="center"/>
          </w:tcPr>
          <w:p w14:paraId="567CBC88">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总价（元）</w:t>
            </w:r>
          </w:p>
        </w:tc>
      </w:tr>
      <w:tr w14:paraId="2E9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86" w:type="dxa"/>
            <w:noWrap w:val="0"/>
            <w:vAlign w:val="center"/>
          </w:tcPr>
          <w:p w14:paraId="01820C02">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484" w:type="dxa"/>
            <w:noWrap w:val="0"/>
            <w:vAlign w:val="center"/>
          </w:tcPr>
          <w:p w14:paraId="4CA27404">
            <w:pPr>
              <w:bidi w:val="0"/>
              <w:spacing w:line="360" w:lineRule="auto"/>
              <w:jc w:val="center"/>
              <w:rPr>
                <w:rFonts w:hint="eastAsia" w:ascii="宋体" w:hAnsi="宋体" w:eastAsia="宋体" w:cs="宋体"/>
                <w:sz w:val="24"/>
                <w:szCs w:val="24"/>
              </w:rPr>
            </w:pPr>
          </w:p>
        </w:tc>
        <w:tc>
          <w:tcPr>
            <w:tcW w:w="827" w:type="dxa"/>
            <w:noWrap w:val="0"/>
            <w:vAlign w:val="center"/>
          </w:tcPr>
          <w:p w14:paraId="76096C4D">
            <w:pPr>
              <w:bidi w:val="0"/>
              <w:spacing w:line="360" w:lineRule="auto"/>
              <w:jc w:val="center"/>
              <w:rPr>
                <w:rFonts w:hint="eastAsia" w:ascii="宋体" w:hAnsi="宋体" w:eastAsia="宋体" w:cs="宋体"/>
                <w:sz w:val="24"/>
                <w:szCs w:val="24"/>
              </w:rPr>
            </w:pPr>
            <w:bookmarkStart w:id="10" w:name="_GoBack"/>
            <w:bookmarkEnd w:id="10"/>
          </w:p>
        </w:tc>
        <w:tc>
          <w:tcPr>
            <w:tcW w:w="1623" w:type="dxa"/>
            <w:noWrap w:val="0"/>
            <w:vAlign w:val="center"/>
          </w:tcPr>
          <w:p w14:paraId="53F8B084">
            <w:pPr>
              <w:bidi w:val="0"/>
              <w:spacing w:line="360" w:lineRule="auto"/>
              <w:jc w:val="center"/>
              <w:rPr>
                <w:rFonts w:hint="eastAsia" w:ascii="宋体" w:hAnsi="宋体" w:eastAsia="宋体" w:cs="宋体"/>
                <w:sz w:val="24"/>
                <w:szCs w:val="24"/>
              </w:rPr>
            </w:pPr>
          </w:p>
        </w:tc>
        <w:tc>
          <w:tcPr>
            <w:tcW w:w="1658" w:type="dxa"/>
            <w:noWrap w:val="0"/>
            <w:vAlign w:val="center"/>
          </w:tcPr>
          <w:p w14:paraId="66F5F0CB">
            <w:pPr>
              <w:bidi w:val="0"/>
              <w:spacing w:line="360" w:lineRule="auto"/>
              <w:jc w:val="center"/>
              <w:rPr>
                <w:rFonts w:hint="eastAsia" w:ascii="宋体" w:hAnsi="宋体" w:eastAsia="宋体" w:cs="宋体"/>
                <w:sz w:val="24"/>
                <w:szCs w:val="24"/>
              </w:rPr>
            </w:pPr>
          </w:p>
        </w:tc>
      </w:tr>
      <w:tr w14:paraId="34D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78" w:type="dxa"/>
            <w:gridSpan w:val="5"/>
            <w:noWrap w:val="0"/>
            <w:vAlign w:val="center"/>
          </w:tcPr>
          <w:p w14:paraId="501D9B75">
            <w:pPr>
              <w:bidi w:val="0"/>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en-US" w:eastAsia="zh-CN"/>
              </w:rPr>
              <w:t>合计：</w:t>
            </w:r>
            <w:r>
              <w:rPr>
                <w:rFonts w:hint="eastAsia" w:ascii="宋体" w:hAnsi="宋体" w:eastAsia="宋体" w:cs="宋体"/>
                <w:sz w:val="24"/>
                <w:szCs w:val="24"/>
                <w:lang w:val="en-US" w:eastAsia="zh-CN"/>
              </w:rPr>
              <w:t xml:space="preserve">                                              （元）</w:t>
            </w:r>
          </w:p>
        </w:tc>
      </w:tr>
    </w:tbl>
    <w:p w14:paraId="77C30E8F">
      <w:pPr>
        <w:ind w:firstLine="439" w:firstLineChars="157"/>
        <w:rPr>
          <w:rFonts w:hint="default" w:ascii="宋体" w:hAnsi="宋体"/>
          <w:bCs/>
          <w:sz w:val="28"/>
          <w:szCs w:val="28"/>
          <w:lang w:val="en-US" w:eastAsia="zh-CN"/>
        </w:rPr>
      </w:pPr>
      <w:r>
        <w:rPr>
          <w:rFonts w:hint="eastAsia" w:ascii="宋体" w:hAnsi="宋体"/>
          <w:bCs/>
          <w:sz w:val="28"/>
          <w:szCs w:val="28"/>
          <w:lang w:val="en-US" w:eastAsia="zh-CN"/>
        </w:rPr>
        <w:t>6、咨询文件要求</w:t>
      </w:r>
    </w:p>
    <w:p w14:paraId="2A5F877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 w:hAnsi="仿宋" w:eastAsia="仿宋" w:cs="仿宋"/>
          <w:i w:val="0"/>
          <w:iCs w:val="0"/>
          <w:caps w:val="0"/>
          <w:color w:val="333333"/>
          <w:spacing w:val="0"/>
          <w:sz w:val="31"/>
          <w:szCs w:val="31"/>
        </w:rPr>
      </w:pPr>
      <w:r>
        <w:rPr>
          <w:rStyle w:val="28"/>
          <w:rFonts w:ascii="仿宋" w:hAnsi="仿宋" w:eastAsia="仿宋" w:cs="仿宋"/>
          <w:i w:val="0"/>
          <w:iCs w:val="0"/>
          <w:caps w:val="0"/>
          <w:color w:val="333333"/>
          <w:spacing w:val="0"/>
          <w:sz w:val="31"/>
          <w:szCs w:val="31"/>
        </w:rPr>
        <w:t>文件应包含项目建设方案、产品型号及报价表</w:t>
      </w:r>
      <w:r>
        <w:rPr>
          <w:rStyle w:val="28"/>
          <w:rFonts w:hint="eastAsia" w:ascii="仿宋" w:hAnsi="仿宋" w:eastAsia="仿宋" w:cs="仿宋"/>
          <w:i w:val="0"/>
          <w:iCs w:val="0"/>
          <w:caps w:val="0"/>
          <w:color w:val="333333"/>
          <w:spacing w:val="0"/>
          <w:sz w:val="31"/>
          <w:szCs w:val="31"/>
        </w:rPr>
        <w:t>(单价、总价及总计)（需加盖公章）、有关资质证明材料、供货商详细地址及电话等。</w:t>
      </w:r>
      <w:r>
        <w:rPr>
          <w:rFonts w:hint="eastAsia" w:ascii="仿宋" w:hAnsi="仿宋" w:eastAsia="仿宋" w:cs="仿宋"/>
          <w:i w:val="0"/>
          <w:iCs w:val="0"/>
          <w:caps w:val="0"/>
          <w:color w:val="333333"/>
          <w:spacing w:val="0"/>
          <w:sz w:val="31"/>
          <w:szCs w:val="31"/>
        </w:rPr>
        <w:t>咨询文件胶装成册一式</w:t>
      </w:r>
      <w:r>
        <w:rPr>
          <w:rFonts w:hint="eastAsia" w:ascii="仿宋" w:hAnsi="仿宋" w:eastAsia="仿宋" w:cs="仿宋"/>
          <w:i w:val="0"/>
          <w:iCs w:val="0"/>
          <w:caps w:val="0"/>
          <w:color w:val="333333"/>
          <w:spacing w:val="0"/>
          <w:sz w:val="31"/>
          <w:szCs w:val="31"/>
          <w:lang w:val="en-US" w:eastAsia="zh-CN"/>
        </w:rPr>
        <w:t>叁</w:t>
      </w:r>
      <w:r>
        <w:rPr>
          <w:rFonts w:hint="eastAsia" w:ascii="仿宋" w:hAnsi="仿宋" w:eastAsia="仿宋" w:cs="仿宋"/>
          <w:i w:val="0"/>
          <w:iCs w:val="0"/>
          <w:caps w:val="0"/>
          <w:color w:val="333333"/>
          <w:spacing w:val="0"/>
          <w:sz w:val="31"/>
          <w:szCs w:val="31"/>
        </w:rPr>
        <w:t>份</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lang w:val="en-US" w:eastAsia="zh-CN"/>
        </w:rPr>
        <w:t>一正二副</w:t>
      </w:r>
      <w:r>
        <w:rPr>
          <w:rFonts w:hint="eastAsia" w:ascii="仿宋" w:hAnsi="仿宋" w:eastAsia="仿宋" w:cs="仿宋"/>
          <w:i w:val="0"/>
          <w:iCs w:val="0"/>
          <w:caps w:val="0"/>
          <w:color w:val="333333"/>
          <w:spacing w:val="0"/>
          <w:sz w:val="31"/>
          <w:szCs w:val="31"/>
        </w:rPr>
        <w:t>。报价中包含运杂、装卸、包装、保险、税费、售后服务等以及国家规定的各项费用等一切费用。</w:t>
      </w:r>
    </w:p>
    <w:p w14:paraId="7A4C5E84">
      <w:pPr>
        <w:ind w:firstLine="424" w:firstLineChars="202"/>
        <w:rPr>
          <w:rFonts w:ascii="宋体" w:hAnsi="宋体"/>
          <w:b/>
          <w:bCs/>
          <w:sz w:val="32"/>
          <w:szCs w:val="32"/>
        </w:rPr>
      </w:pPr>
      <w:r>
        <w:rPr>
          <w:rFonts w:ascii="宋体" w:hAnsi="宋体"/>
        </w:rPr>
        <w:br w:type="page"/>
      </w:r>
    </w:p>
    <w:p w14:paraId="5515AEF6">
      <w:pPr>
        <w:pStyle w:val="3"/>
        <w:spacing w:before="0" w:after="0" w:line="460" w:lineRule="exact"/>
        <w:ind w:firstLine="0"/>
        <w:rPr>
          <w:rFonts w:ascii="宋体" w:hAnsi="宋体" w:eastAsia="宋体"/>
        </w:rPr>
      </w:pPr>
      <w:r>
        <w:rPr>
          <w:rFonts w:hint="eastAsia" w:ascii="宋体" w:hAnsi="宋体" w:eastAsia="宋体"/>
        </w:rPr>
        <w:t>三、法定代表人授权书</w:t>
      </w:r>
      <w:bookmarkEnd w:id="6"/>
      <w:bookmarkEnd w:id="7"/>
      <w:r>
        <w:rPr>
          <w:rFonts w:hint="eastAsia" w:ascii="宋体" w:hAnsi="宋体" w:eastAsia="宋体"/>
        </w:rPr>
        <w:t>（非法人代表参与投标时提供）</w:t>
      </w:r>
    </w:p>
    <w:p w14:paraId="2778C492">
      <w:pPr>
        <w:rPr>
          <w:rFonts w:ascii="宋体" w:hAnsi="宋体"/>
        </w:rPr>
      </w:pPr>
    </w:p>
    <w:p w14:paraId="1567F63B">
      <w:pPr>
        <w:spacing w:line="480" w:lineRule="auto"/>
        <w:rPr>
          <w:rFonts w:ascii="宋体" w:hAnsi="宋体"/>
          <w:sz w:val="27"/>
          <w:szCs w:val="27"/>
        </w:rPr>
      </w:pPr>
      <w:r>
        <w:rPr>
          <w:rFonts w:hint="eastAsia" w:ascii="宋体" w:hAnsi="宋体"/>
          <w:sz w:val="27"/>
          <w:szCs w:val="27"/>
        </w:rPr>
        <w:t>致</w:t>
      </w:r>
      <w:r>
        <w:rPr>
          <w:rFonts w:ascii="宋体" w:hAnsi="宋体"/>
          <w:sz w:val="27"/>
          <w:szCs w:val="27"/>
        </w:rPr>
        <w:t>:</w:t>
      </w:r>
      <w:r>
        <w:rPr>
          <w:rFonts w:hint="eastAsia" w:ascii="宋体" w:hAnsi="宋体"/>
          <w:sz w:val="27"/>
          <w:szCs w:val="27"/>
        </w:rPr>
        <w:t>赣州市妇幼保健院</w:t>
      </w:r>
    </w:p>
    <w:p w14:paraId="4BFDE210">
      <w:pPr>
        <w:spacing w:line="480" w:lineRule="auto"/>
        <w:ind w:firstLine="540" w:firstLineChars="200"/>
        <w:rPr>
          <w:rFonts w:ascii="宋体" w:hAnsi="宋体"/>
          <w:sz w:val="27"/>
          <w:szCs w:val="27"/>
        </w:rPr>
      </w:pP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w:t>
      </w:r>
      <w:r>
        <w:rPr>
          <w:rFonts w:hint="eastAsia" w:ascii="宋体" w:hAnsi="宋体"/>
          <w:sz w:val="27"/>
          <w:szCs w:val="27"/>
          <w:u w:val="single"/>
        </w:rPr>
        <w:t xml:space="preserve">               </w:t>
      </w:r>
      <w:r>
        <w:rPr>
          <w:rFonts w:hint="eastAsia" w:ascii="宋体" w:hAnsi="宋体"/>
          <w:sz w:val="27"/>
          <w:szCs w:val="27"/>
        </w:rPr>
        <w:t>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14:paraId="1C2F9641">
      <w:pPr>
        <w:spacing w:line="480" w:lineRule="auto"/>
        <w:rPr>
          <w:rFonts w:ascii="宋体" w:hAnsi="宋体" w:cs="宋体"/>
          <w:kern w:val="0"/>
          <w:sz w:val="27"/>
          <w:szCs w:val="27"/>
        </w:rPr>
      </w:pPr>
      <w:r>
        <w:rPr>
          <w:rFonts w:hint="eastAsia" w:ascii="宋体" w:hAnsi="宋体"/>
          <w:sz w:val="27"/>
          <w:szCs w:val="27"/>
        </w:rPr>
        <w:t>被授权人签字：</w:t>
      </w:r>
      <w:r>
        <w:rPr>
          <w:rFonts w:ascii="宋体" w:hAnsi="宋体" w:cs="宋体"/>
          <w:kern w:val="0"/>
          <w:sz w:val="27"/>
          <w:szCs w:val="27"/>
        </w:rPr>
        <w:t>_______________</w:t>
      </w:r>
      <w:r>
        <w:rPr>
          <w:rFonts w:hint="eastAsia" w:ascii="宋体" w:hAnsi="宋体"/>
          <w:sz w:val="27"/>
          <w:szCs w:val="27"/>
        </w:rPr>
        <w:t xml:space="preserve">       法定代表人签字：</w:t>
      </w:r>
      <w:r>
        <w:rPr>
          <w:rFonts w:ascii="宋体" w:hAnsi="宋体" w:cs="宋体"/>
          <w:kern w:val="0"/>
          <w:sz w:val="27"/>
          <w:szCs w:val="27"/>
        </w:rPr>
        <w:t>_______________</w:t>
      </w:r>
    </w:p>
    <w:p w14:paraId="442844FC">
      <w:pPr>
        <w:spacing w:line="480" w:lineRule="auto"/>
        <w:ind w:firstLine="4860" w:firstLineChars="1800"/>
        <w:rPr>
          <w:rFonts w:ascii="宋体" w:hAnsi="宋体"/>
          <w:sz w:val="27"/>
          <w:szCs w:val="27"/>
        </w:rPr>
      </w:pPr>
      <w:r>
        <w:rPr>
          <w:rFonts w:hint="eastAsia" w:ascii="宋体" w:hAnsi="宋体"/>
          <w:sz w:val="27"/>
          <w:szCs w:val="27"/>
        </w:rPr>
        <w:t>响应供应商名称（公章）</w:t>
      </w:r>
    </w:p>
    <w:p w14:paraId="30314C00">
      <w:pPr>
        <w:spacing w:line="480" w:lineRule="auto"/>
        <w:ind w:firstLine="5400" w:firstLineChars="2000"/>
        <w:rPr>
          <w:rFonts w:ascii="宋体" w:hAnsi="宋体"/>
          <w:sz w:val="27"/>
          <w:szCs w:val="27"/>
        </w:rPr>
      </w:pPr>
      <w:r>
        <w:rPr>
          <w:rFonts w:hint="eastAsia" w:ascii="宋体" w:hAnsi="宋体"/>
          <w:sz w:val="27"/>
          <w:szCs w:val="27"/>
        </w:rPr>
        <w:t>年  月   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33EF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14:paraId="04E94766">
            <w:pPr>
              <w:widowControl/>
              <w:spacing w:line="360" w:lineRule="auto"/>
              <w:rPr>
                <w:rFonts w:ascii="宋体" w:hAnsi="宋体" w:cs="宋体"/>
                <w:kern w:val="0"/>
                <w:sz w:val="27"/>
                <w:szCs w:val="27"/>
              </w:rPr>
            </w:pPr>
            <w:r>
              <w:rPr>
                <w:rFonts w:hint="eastAsia" w:ascii="宋体" w:hAnsi="宋体" w:cs="宋体"/>
                <w:kern w:val="0"/>
                <w:sz w:val="27"/>
                <w:szCs w:val="27"/>
              </w:rPr>
              <w:t>粘贴法人身份证明</w:t>
            </w:r>
            <w:r>
              <w:rPr>
                <w:rFonts w:hint="eastAsia" w:ascii="宋体" w:hAnsi="宋体" w:cs="宋体"/>
                <w:b/>
                <w:kern w:val="0"/>
                <w:sz w:val="27"/>
                <w:szCs w:val="27"/>
              </w:rPr>
              <w:t>（复印件正、反两面）</w:t>
            </w:r>
          </w:p>
          <w:p w14:paraId="01C6048A">
            <w:pPr>
              <w:widowControl/>
              <w:spacing w:line="360" w:lineRule="auto"/>
              <w:rPr>
                <w:rFonts w:ascii="宋体" w:hAnsi="宋体" w:cs="宋体"/>
                <w:kern w:val="0"/>
                <w:sz w:val="27"/>
                <w:szCs w:val="27"/>
              </w:rPr>
            </w:pPr>
          </w:p>
          <w:p w14:paraId="21D30718">
            <w:pPr>
              <w:widowControl/>
              <w:spacing w:line="360" w:lineRule="auto"/>
              <w:rPr>
                <w:rFonts w:ascii="宋体" w:hAnsi="宋体" w:cs="宋体"/>
                <w:kern w:val="0"/>
                <w:sz w:val="27"/>
                <w:szCs w:val="27"/>
              </w:rPr>
            </w:pPr>
          </w:p>
          <w:p w14:paraId="13F609FB">
            <w:pPr>
              <w:widowControl/>
              <w:spacing w:line="360" w:lineRule="auto"/>
              <w:rPr>
                <w:rFonts w:ascii="宋体" w:hAnsi="宋体" w:cs="宋体"/>
                <w:kern w:val="0"/>
                <w:sz w:val="27"/>
                <w:szCs w:val="27"/>
              </w:rPr>
            </w:pPr>
          </w:p>
          <w:p w14:paraId="14A926E3">
            <w:pPr>
              <w:widowControl/>
              <w:spacing w:line="360" w:lineRule="auto"/>
              <w:rPr>
                <w:rFonts w:ascii="宋体" w:hAnsi="宋体" w:cs="宋体"/>
                <w:b/>
                <w:kern w:val="0"/>
                <w:sz w:val="27"/>
                <w:szCs w:val="27"/>
              </w:rPr>
            </w:pPr>
            <w:r>
              <w:rPr>
                <w:rFonts w:hint="eastAsia" w:ascii="宋体" w:hAnsi="宋体" w:cs="宋体"/>
                <w:kern w:val="0"/>
                <w:sz w:val="27"/>
                <w:szCs w:val="27"/>
              </w:rPr>
              <w:t>粘贴被授权人身份证明</w:t>
            </w:r>
            <w:r>
              <w:rPr>
                <w:rFonts w:hint="eastAsia" w:ascii="宋体" w:hAnsi="宋体" w:cs="宋体"/>
                <w:b/>
                <w:kern w:val="0"/>
                <w:sz w:val="27"/>
                <w:szCs w:val="27"/>
              </w:rPr>
              <w:t>（复印件正、反两面）</w:t>
            </w:r>
          </w:p>
          <w:p w14:paraId="3F566AFD">
            <w:pPr>
              <w:widowControl/>
              <w:spacing w:line="360" w:lineRule="auto"/>
              <w:rPr>
                <w:rFonts w:ascii="宋体" w:hAnsi="宋体" w:cs="宋体"/>
                <w:b/>
                <w:kern w:val="0"/>
                <w:sz w:val="27"/>
                <w:szCs w:val="27"/>
              </w:rPr>
            </w:pPr>
          </w:p>
          <w:p w14:paraId="7FA81328">
            <w:pPr>
              <w:widowControl/>
              <w:spacing w:line="360" w:lineRule="auto"/>
              <w:rPr>
                <w:rFonts w:ascii="宋体" w:hAnsi="宋体" w:cs="宋体"/>
                <w:b/>
                <w:kern w:val="0"/>
                <w:sz w:val="27"/>
                <w:szCs w:val="27"/>
              </w:rPr>
            </w:pPr>
          </w:p>
          <w:p w14:paraId="00525A11">
            <w:pPr>
              <w:widowControl/>
              <w:spacing w:line="360" w:lineRule="auto"/>
              <w:rPr>
                <w:rFonts w:ascii="宋体" w:hAnsi="宋体" w:cs="宋体"/>
                <w:b/>
                <w:kern w:val="0"/>
                <w:sz w:val="27"/>
                <w:szCs w:val="27"/>
              </w:rPr>
            </w:pPr>
          </w:p>
        </w:tc>
      </w:tr>
    </w:tbl>
    <w:p w14:paraId="3E49BE8C">
      <w:pPr>
        <w:rPr>
          <w:rFonts w:ascii="宋体" w:hAnsi="宋体"/>
        </w:rPr>
      </w:pPr>
    </w:p>
    <w:p w14:paraId="616157C2">
      <w:pPr>
        <w:widowControl/>
        <w:jc w:val="left"/>
        <w:rPr>
          <w:rFonts w:ascii="宋体" w:hAnsi="宋体"/>
          <w:b/>
          <w:bCs/>
          <w:kern w:val="0"/>
          <w:sz w:val="32"/>
          <w:szCs w:val="32"/>
        </w:rPr>
      </w:pPr>
      <w:r>
        <w:rPr>
          <w:rFonts w:ascii="宋体" w:hAnsi="宋体"/>
          <w:kern w:val="0"/>
        </w:rPr>
        <w:br w:type="page"/>
      </w:r>
    </w:p>
    <w:p w14:paraId="10811109">
      <w:pPr>
        <w:pStyle w:val="3"/>
        <w:tabs>
          <w:tab w:val="center" w:pos="5076"/>
          <w:tab w:val="left" w:pos="8445"/>
        </w:tabs>
        <w:ind w:firstLine="0"/>
        <w:rPr>
          <w:rFonts w:ascii="宋体" w:hAnsi="宋体" w:eastAsia="宋体" w:cs="宋体"/>
          <w:kern w:val="0"/>
          <w:sz w:val="27"/>
          <w:szCs w:val="27"/>
        </w:rPr>
      </w:pPr>
      <w:r>
        <w:rPr>
          <w:rFonts w:hint="eastAsia" w:ascii="宋体" w:hAnsi="宋体" w:eastAsia="宋体"/>
          <w:kern w:val="0"/>
        </w:rPr>
        <w:t>四、响应供应商关于无重大违法记录书面声明函</w:t>
      </w:r>
    </w:p>
    <w:p w14:paraId="241D90EB">
      <w:pPr>
        <w:spacing w:line="480" w:lineRule="auto"/>
        <w:rPr>
          <w:rFonts w:ascii="宋体" w:hAnsi="宋体"/>
          <w:sz w:val="27"/>
          <w:szCs w:val="27"/>
        </w:rPr>
      </w:pPr>
      <w:r>
        <w:rPr>
          <w:rFonts w:hint="eastAsia" w:ascii="宋体" w:hAnsi="宋体"/>
          <w:sz w:val="27"/>
          <w:szCs w:val="27"/>
        </w:rPr>
        <w:t>致：赣州市妇幼保健院</w:t>
      </w:r>
    </w:p>
    <w:p w14:paraId="5ABB1262">
      <w:pPr>
        <w:spacing w:line="480" w:lineRule="auto"/>
        <w:ind w:firstLine="540" w:firstLineChars="200"/>
        <w:rPr>
          <w:rFonts w:ascii="宋体" w:hAnsi="宋体"/>
          <w:sz w:val="27"/>
          <w:szCs w:val="27"/>
        </w:rPr>
      </w:pPr>
      <w:r>
        <w:rPr>
          <w:rFonts w:hint="eastAsia" w:ascii="宋体" w:hAnsi="宋体"/>
          <w:sz w:val="27"/>
          <w:szCs w:val="27"/>
        </w:rPr>
        <w:t>我公司在参加本次政府采购活动前三年内，在经营活动中没有因违法经营受到刑事处罚或者责令停产停业、吊销许可证或者执照、较大数额罚款等重大违法记录。</w:t>
      </w:r>
    </w:p>
    <w:p w14:paraId="692ADDAA">
      <w:pPr>
        <w:spacing w:line="480" w:lineRule="auto"/>
        <w:ind w:left="540"/>
        <w:rPr>
          <w:rFonts w:ascii="宋体" w:hAnsi="宋体"/>
          <w:sz w:val="27"/>
          <w:szCs w:val="27"/>
        </w:rPr>
      </w:pPr>
      <w:r>
        <w:rPr>
          <w:rFonts w:hint="eastAsia" w:ascii="宋体" w:hAnsi="宋体"/>
          <w:sz w:val="27"/>
          <w:szCs w:val="27"/>
        </w:rPr>
        <w:t>特此声明。</w:t>
      </w:r>
    </w:p>
    <w:p w14:paraId="5C362282">
      <w:pPr>
        <w:spacing w:line="480" w:lineRule="auto"/>
        <w:ind w:left="540"/>
        <w:rPr>
          <w:rFonts w:ascii="宋体" w:hAnsi="宋体"/>
          <w:sz w:val="27"/>
          <w:szCs w:val="27"/>
        </w:rPr>
      </w:pPr>
    </w:p>
    <w:p w14:paraId="5491EEAA">
      <w:pPr>
        <w:spacing w:line="480" w:lineRule="auto"/>
        <w:ind w:left="540"/>
        <w:rPr>
          <w:rFonts w:ascii="宋体" w:hAnsi="宋体"/>
          <w:sz w:val="27"/>
          <w:szCs w:val="27"/>
        </w:rPr>
      </w:pPr>
    </w:p>
    <w:p w14:paraId="06F050AF">
      <w:pPr>
        <w:spacing w:line="480" w:lineRule="auto"/>
        <w:ind w:right="540"/>
        <w:jc w:val="center"/>
        <w:rPr>
          <w:rFonts w:ascii="宋体" w:hAnsi="宋体" w:cs="宋体"/>
          <w:kern w:val="0"/>
          <w:sz w:val="27"/>
          <w:szCs w:val="27"/>
        </w:rPr>
      </w:pPr>
      <w:r>
        <w:rPr>
          <w:rFonts w:hint="eastAsia" w:ascii="宋体" w:hAnsi="宋体"/>
          <w:sz w:val="27"/>
          <w:szCs w:val="27"/>
        </w:rPr>
        <w:t xml:space="preserve">                   </w:t>
      </w:r>
      <w:r>
        <w:rPr>
          <w:rFonts w:hint="eastAsia" w:ascii="宋体" w:hAnsi="宋体" w:cs="宋体"/>
          <w:kern w:val="0"/>
          <w:sz w:val="27"/>
          <w:szCs w:val="27"/>
        </w:rPr>
        <w:t>法定代表人或被授权人（签字）：</w:t>
      </w:r>
      <w:r>
        <w:rPr>
          <w:rFonts w:ascii="宋体" w:hAnsi="宋体" w:cs="宋体"/>
          <w:kern w:val="0"/>
          <w:sz w:val="27"/>
          <w:szCs w:val="27"/>
        </w:rPr>
        <w:t>_______________</w:t>
      </w:r>
    </w:p>
    <w:p w14:paraId="7D46B574">
      <w:pPr>
        <w:spacing w:line="480" w:lineRule="auto"/>
        <w:ind w:right="540"/>
        <w:jc w:val="center"/>
        <w:rPr>
          <w:rFonts w:ascii="宋体" w:hAnsi="宋体"/>
          <w:sz w:val="27"/>
          <w:szCs w:val="27"/>
        </w:rPr>
      </w:pPr>
      <w:r>
        <w:rPr>
          <w:rFonts w:hint="eastAsia" w:ascii="宋体" w:hAnsi="宋体"/>
          <w:sz w:val="27"/>
          <w:szCs w:val="27"/>
        </w:rPr>
        <w:t xml:space="preserve">                         </w:t>
      </w:r>
    </w:p>
    <w:p w14:paraId="3EBD1B6D">
      <w:pPr>
        <w:spacing w:line="480" w:lineRule="auto"/>
        <w:ind w:right="540"/>
        <w:jc w:val="center"/>
        <w:rPr>
          <w:rFonts w:ascii="宋体" w:hAnsi="宋体"/>
          <w:sz w:val="27"/>
          <w:szCs w:val="27"/>
        </w:rPr>
      </w:pPr>
      <w:r>
        <w:rPr>
          <w:rFonts w:hint="eastAsia" w:ascii="宋体" w:hAnsi="宋体"/>
          <w:sz w:val="27"/>
          <w:szCs w:val="27"/>
        </w:rPr>
        <w:t xml:space="preserve">      </w:t>
      </w:r>
      <w:r>
        <w:rPr>
          <w:rFonts w:hint="eastAsia" w:ascii="宋体" w:hAnsi="宋体" w:cs="仿宋"/>
          <w:kern w:val="0"/>
          <w:sz w:val="32"/>
          <w:szCs w:val="32"/>
        </w:rPr>
        <w:t>响应供应商名称</w:t>
      </w:r>
      <w:r>
        <w:rPr>
          <w:rFonts w:hint="eastAsia" w:ascii="宋体" w:hAnsi="宋体" w:cs="宋体"/>
          <w:kern w:val="0"/>
          <w:sz w:val="27"/>
          <w:szCs w:val="27"/>
        </w:rPr>
        <w:t>（公章）</w:t>
      </w:r>
      <w:r>
        <w:rPr>
          <w:rFonts w:hint="eastAsia" w:ascii="宋体" w:hAnsi="宋体"/>
          <w:sz w:val="27"/>
          <w:szCs w:val="27"/>
        </w:rPr>
        <w:t xml:space="preserve"> </w:t>
      </w:r>
    </w:p>
    <w:p w14:paraId="44A98D9B">
      <w:pPr>
        <w:widowControl/>
        <w:spacing w:before="100" w:beforeAutospacing="1" w:after="100" w:afterAutospacing="1" w:line="480" w:lineRule="auto"/>
        <w:jc w:val="center"/>
        <w:rPr>
          <w:rFonts w:ascii="宋体" w:hAnsi="宋体" w:cs="宋体"/>
          <w:kern w:val="0"/>
          <w:sz w:val="28"/>
          <w:szCs w:val="28"/>
        </w:rPr>
      </w:pPr>
      <w:r>
        <w:rPr>
          <w:rFonts w:hint="eastAsia" w:ascii="宋体" w:hAnsi="宋体"/>
          <w:sz w:val="27"/>
          <w:szCs w:val="27"/>
        </w:rPr>
        <w:t xml:space="preserve">                              年   月   日</w:t>
      </w:r>
    </w:p>
    <w:p w14:paraId="6A799632">
      <w:pPr>
        <w:rPr>
          <w:rFonts w:ascii="宋体" w:hAnsi="宋体"/>
        </w:rPr>
      </w:pPr>
    </w:p>
    <w:p w14:paraId="7A2FFA4B">
      <w:pPr>
        <w:rPr>
          <w:rFonts w:ascii="宋体" w:hAnsi="宋体"/>
          <w:kern w:val="0"/>
        </w:rPr>
      </w:pPr>
    </w:p>
    <w:p w14:paraId="45D09F75">
      <w:pPr>
        <w:rPr>
          <w:rFonts w:ascii="宋体" w:hAnsi="宋体"/>
          <w:kern w:val="0"/>
        </w:rPr>
      </w:pPr>
    </w:p>
    <w:p w14:paraId="3D45EEE4">
      <w:pPr>
        <w:rPr>
          <w:rFonts w:ascii="宋体" w:hAnsi="宋体"/>
          <w:kern w:val="0"/>
        </w:rPr>
      </w:pPr>
    </w:p>
    <w:p w14:paraId="74BD3918">
      <w:pPr>
        <w:rPr>
          <w:rFonts w:ascii="宋体" w:hAnsi="宋体"/>
          <w:kern w:val="0"/>
        </w:rPr>
      </w:pPr>
    </w:p>
    <w:p w14:paraId="31A6E28A">
      <w:pPr>
        <w:rPr>
          <w:rFonts w:ascii="宋体" w:hAnsi="宋体"/>
          <w:kern w:val="0"/>
        </w:rPr>
      </w:pPr>
    </w:p>
    <w:p w14:paraId="43132BEB">
      <w:pPr>
        <w:rPr>
          <w:rFonts w:ascii="宋体" w:hAnsi="宋体"/>
          <w:kern w:val="0"/>
        </w:rPr>
      </w:pPr>
    </w:p>
    <w:p w14:paraId="6F48F2AE">
      <w:pPr>
        <w:rPr>
          <w:rFonts w:ascii="宋体" w:hAnsi="宋体"/>
          <w:kern w:val="0"/>
        </w:rPr>
      </w:pPr>
    </w:p>
    <w:p w14:paraId="44E0C9F8">
      <w:pPr>
        <w:rPr>
          <w:rFonts w:ascii="宋体" w:hAnsi="宋体"/>
          <w:kern w:val="0"/>
        </w:rPr>
      </w:pPr>
    </w:p>
    <w:p w14:paraId="3CB3FF9B">
      <w:pPr>
        <w:rPr>
          <w:rFonts w:ascii="宋体" w:hAnsi="宋体"/>
          <w:kern w:val="0"/>
        </w:rPr>
      </w:pPr>
    </w:p>
    <w:p w14:paraId="2637BACA">
      <w:pPr>
        <w:rPr>
          <w:rFonts w:ascii="宋体" w:hAnsi="宋体"/>
          <w:kern w:val="0"/>
        </w:rPr>
      </w:pPr>
    </w:p>
    <w:p w14:paraId="5C2A36DE">
      <w:pPr>
        <w:rPr>
          <w:rFonts w:ascii="宋体" w:hAnsi="宋体"/>
          <w:kern w:val="0"/>
        </w:rPr>
      </w:pPr>
    </w:p>
    <w:p w14:paraId="0A9760E2">
      <w:pPr>
        <w:rPr>
          <w:rFonts w:ascii="宋体" w:hAnsi="宋体"/>
          <w:kern w:val="0"/>
        </w:rPr>
      </w:pPr>
    </w:p>
    <w:p w14:paraId="236CF304">
      <w:pPr>
        <w:rPr>
          <w:rFonts w:ascii="宋体" w:hAnsi="宋体"/>
          <w:kern w:val="0"/>
        </w:rPr>
      </w:pPr>
    </w:p>
    <w:p w14:paraId="787A1BA7">
      <w:pPr>
        <w:rPr>
          <w:rFonts w:ascii="宋体" w:hAnsi="宋体"/>
          <w:kern w:val="0"/>
        </w:rPr>
      </w:pPr>
    </w:p>
    <w:p w14:paraId="4D4A7BD5">
      <w:pPr>
        <w:rPr>
          <w:rFonts w:ascii="宋体" w:hAnsi="宋体"/>
          <w:kern w:val="0"/>
        </w:rPr>
      </w:pPr>
    </w:p>
    <w:bookmarkEnd w:id="8"/>
    <w:bookmarkEnd w:id="9"/>
    <w:p w14:paraId="72DB2C92">
      <w:pPr>
        <w:pStyle w:val="3"/>
        <w:rPr>
          <w:rFonts w:ascii="宋体" w:hAnsi="宋体" w:eastAsia="宋体"/>
          <w:kern w:val="0"/>
        </w:rPr>
      </w:pPr>
      <w:r>
        <w:rPr>
          <w:rFonts w:hint="eastAsia" w:ascii="宋体" w:hAnsi="宋体" w:eastAsia="宋体"/>
          <w:kern w:val="0"/>
        </w:rPr>
        <w:t>五、响应供应商资格证明文件</w:t>
      </w:r>
    </w:p>
    <w:p w14:paraId="7638D87E">
      <w:pPr>
        <w:spacing w:line="360" w:lineRule="auto"/>
        <w:rPr>
          <w:rFonts w:ascii="宋体" w:hAnsi="宋体"/>
          <w:sz w:val="30"/>
          <w:szCs w:val="30"/>
        </w:rPr>
      </w:pPr>
      <w:r>
        <w:rPr>
          <w:rFonts w:hint="eastAsia" w:ascii="宋体" w:hAnsi="宋体"/>
          <w:sz w:val="30"/>
          <w:szCs w:val="30"/>
        </w:rPr>
        <w:t>1、营业执照、税务登记证、机构代码证（三证（五证）合一的提供三证（五证）合一证件）</w:t>
      </w:r>
    </w:p>
    <w:p w14:paraId="0889F0DD">
      <w:pPr>
        <w:spacing w:line="360" w:lineRule="auto"/>
        <w:rPr>
          <w:rFonts w:ascii="宋体" w:hAnsi="宋体"/>
          <w:sz w:val="30"/>
          <w:szCs w:val="30"/>
        </w:rPr>
      </w:pPr>
    </w:p>
    <w:p w14:paraId="780D7CD7">
      <w:pPr>
        <w:spacing w:line="360" w:lineRule="auto"/>
        <w:rPr>
          <w:rFonts w:ascii="宋体" w:hAnsi="宋体"/>
          <w:sz w:val="30"/>
          <w:szCs w:val="30"/>
        </w:rPr>
      </w:pPr>
    </w:p>
    <w:p w14:paraId="05377983">
      <w:pPr>
        <w:spacing w:line="360" w:lineRule="auto"/>
        <w:rPr>
          <w:rFonts w:ascii="宋体" w:hAnsi="宋体"/>
          <w:sz w:val="30"/>
          <w:szCs w:val="30"/>
        </w:rPr>
      </w:pPr>
    </w:p>
    <w:p w14:paraId="4583B357">
      <w:pPr>
        <w:spacing w:line="360" w:lineRule="auto"/>
        <w:rPr>
          <w:rFonts w:ascii="宋体" w:hAnsi="宋体"/>
          <w:sz w:val="30"/>
          <w:szCs w:val="30"/>
        </w:rPr>
      </w:pPr>
    </w:p>
    <w:p w14:paraId="4511D746">
      <w:pPr>
        <w:spacing w:line="360" w:lineRule="auto"/>
        <w:rPr>
          <w:rFonts w:ascii="宋体" w:hAnsi="宋体"/>
          <w:sz w:val="30"/>
          <w:szCs w:val="30"/>
        </w:rPr>
      </w:pPr>
    </w:p>
    <w:p w14:paraId="6667A02D">
      <w:pPr>
        <w:spacing w:line="360" w:lineRule="auto"/>
        <w:rPr>
          <w:rFonts w:ascii="宋体" w:hAnsi="宋体"/>
          <w:sz w:val="30"/>
          <w:szCs w:val="30"/>
        </w:rPr>
      </w:pPr>
    </w:p>
    <w:p w14:paraId="4BB0C89D">
      <w:pPr>
        <w:spacing w:line="360" w:lineRule="auto"/>
        <w:rPr>
          <w:rFonts w:ascii="宋体" w:hAnsi="宋体"/>
          <w:sz w:val="30"/>
          <w:szCs w:val="30"/>
        </w:rPr>
      </w:pPr>
    </w:p>
    <w:p w14:paraId="3E2C7DC8">
      <w:pPr>
        <w:spacing w:line="360" w:lineRule="auto"/>
        <w:rPr>
          <w:rFonts w:ascii="宋体" w:hAnsi="宋体"/>
          <w:sz w:val="30"/>
          <w:szCs w:val="30"/>
        </w:rPr>
      </w:pPr>
    </w:p>
    <w:p w14:paraId="7B51374B">
      <w:pPr>
        <w:spacing w:line="360" w:lineRule="auto"/>
        <w:rPr>
          <w:rFonts w:ascii="宋体" w:hAnsi="宋体"/>
          <w:sz w:val="30"/>
          <w:szCs w:val="30"/>
        </w:rPr>
      </w:pPr>
    </w:p>
    <w:p w14:paraId="390E474E">
      <w:pPr>
        <w:spacing w:line="360" w:lineRule="auto"/>
        <w:rPr>
          <w:rFonts w:ascii="宋体" w:hAnsi="宋体"/>
          <w:sz w:val="30"/>
          <w:szCs w:val="30"/>
        </w:rPr>
      </w:pPr>
    </w:p>
    <w:p w14:paraId="722A370B">
      <w:pPr>
        <w:spacing w:line="360" w:lineRule="auto"/>
        <w:rPr>
          <w:rFonts w:ascii="宋体" w:hAnsi="宋体"/>
          <w:sz w:val="30"/>
          <w:szCs w:val="30"/>
        </w:rPr>
      </w:pPr>
    </w:p>
    <w:p w14:paraId="0F99C202">
      <w:pPr>
        <w:spacing w:line="360" w:lineRule="auto"/>
        <w:rPr>
          <w:rFonts w:ascii="宋体" w:hAnsi="宋体"/>
          <w:sz w:val="30"/>
          <w:szCs w:val="30"/>
        </w:rPr>
      </w:pPr>
    </w:p>
    <w:p w14:paraId="6BAFAA8D">
      <w:pPr>
        <w:spacing w:line="360" w:lineRule="auto"/>
        <w:rPr>
          <w:rFonts w:ascii="宋体" w:hAnsi="宋体"/>
          <w:sz w:val="30"/>
          <w:szCs w:val="30"/>
        </w:rPr>
      </w:pPr>
    </w:p>
    <w:p w14:paraId="0A16AC6C">
      <w:pPr>
        <w:spacing w:line="360" w:lineRule="auto"/>
        <w:rPr>
          <w:rFonts w:ascii="宋体" w:hAnsi="宋体"/>
          <w:sz w:val="30"/>
          <w:szCs w:val="30"/>
        </w:rPr>
      </w:pPr>
    </w:p>
    <w:p w14:paraId="3DB99947">
      <w:pPr>
        <w:spacing w:line="360" w:lineRule="auto"/>
        <w:rPr>
          <w:rFonts w:ascii="宋体" w:hAnsi="宋体"/>
          <w:sz w:val="30"/>
          <w:szCs w:val="30"/>
        </w:rPr>
      </w:pPr>
    </w:p>
    <w:p w14:paraId="22308AB8">
      <w:pPr>
        <w:spacing w:line="360" w:lineRule="auto"/>
        <w:rPr>
          <w:rFonts w:ascii="宋体" w:hAnsi="宋体"/>
          <w:sz w:val="30"/>
          <w:szCs w:val="30"/>
        </w:rPr>
      </w:pPr>
    </w:p>
    <w:p w14:paraId="1B569A48">
      <w:pPr>
        <w:spacing w:line="360" w:lineRule="auto"/>
        <w:rPr>
          <w:rFonts w:ascii="宋体" w:hAnsi="宋体"/>
          <w:sz w:val="30"/>
          <w:szCs w:val="30"/>
        </w:rPr>
      </w:pPr>
    </w:p>
    <w:p w14:paraId="0A68A3B1">
      <w:pPr>
        <w:spacing w:line="360" w:lineRule="auto"/>
        <w:rPr>
          <w:rFonts w:ascii="宋体" w:hAnsi="宋体"/>
          <w:sz w:val="30"/>
          <w:szCs w:val="30"/>
        </w:rPr>
      </w:pPr>
    </w:p>
    <w:p w14:paraId="502A6F82">
      <w:pPr>
        <w:spacing w:line="360" w:lineRule="auto"/>
        <w:rPr>
          <w:rFonts w:ascii="宋体" w:hAnsi="宋体"/>
          <w:sz w:val="30"/>
          <w:szCs w:val="30"/>
        </w:rPr>
      </w:pPr>
    </w:p>
    <w:p w14:paraId="34AA74B0">
      <w:pPr>
        <w:spacing w:line="360" w:lineRule="auto"/>
        <w:jc w:val="center"/>
        <w:rPr>
          <w:rFonts w:ascii="宋体" w:hAnsi="宋体" w:cs="黑体"/>
          <w:b/>
          <w:bCs/>
          <w:sz w:val="30"/>
          <w:szCs w:val="30"/>
        </w:rPr>
      </w:pPr>
      <w:r>
        <w:rPr>
          <w:rFonts w:hint="eastAsia" w:ascii="宋体" w:hAnsi="宋体" w:cs="黑体"/>
          <w:b/>
          <w:bCs/>
          <w:sz w:val="30"/>
          <w:szCs w:val="30"/>
        </w:rPr>
        <w:t>六、其他证明文件</w:t>
      </w:r>
    </w:p>
    <w:p w14:paraId="613EC262">
      <w:pPr>
        <w:spacing w:line="360" w:lineRule="auto"/>
        <w:jc w:val="center"/>
        <w:rPr>
          <w:rFonts w:ascii="宋体" w:hAnsi="宋体" w:cs="黑体"/>
          <w:b/>
          <w:bCs/>
          <w:sz w:val="30"/>
          <w:szCs w:val="30"/>
        </w:rPr>
      </w:pPr>
    </w:p>
    <w:p w14:paraId="703BF7FD">
      <w:pPr>
        <w:spacing w:line="360" w:lineRule="auto"/>
        <w:jc w:val="center"/>
        <w:rPr>
          <w:rFonts w:ascii="宋体" w:hAnsi="宋体" w:cs="黑体"/>
          <w:b/>
          <w:bCs/>
          <w:sz w:val="30"/>
          <w:szCs w:val="30"/>
        </w:rPr>
      </w:pPr>
    </w:p>
    <w:p w14:paraId="3E322BFE">
      <w:pPr>
        <w:spacing w:line="360" w:lineRule="auto"/>
        <w:jc w:val="center"/>
        <w:rPr>
          <w:rFonts w:ascii="宋体" w:hAnsi="宋体" w:cs="黑体"/>
          <w:b/>
          <w:bCs/>
          <w:sz w:val="30"/>
          <w:szCs w:val="30"/>
        </w:rPr>
      </w:pPr>
    </w:p>
    <w:p w14:paraId="6D23BBFD">
      <w:pPr>
        <w:spacing w:line="360" w:lineRule="auto"/>
        <w:jc w:val="center"/>
        <w:rPr>
          <w:rFonts w:ascii="宋体" w:hAnsi="宋体" w:cs="黑体"/>
          <w:b/>
          <w:bCs/>
          <w:sz w:val="30"/>
          <w:szCs w:val="30"/>
        </w:rPr>
      </w:pPr>
    </w:p>
    <w:p w14:paraId="71DAA3D8">
      <w:pPr>
        <w:spacing w:line="360" w:lineRule="auto"/>
        <w:jc w:val="center"/>
        <w:rPr>
          <w:rFonts w:ascii="宋体" w:hAnsi="宋体" w:cs="黑体"/>
          <w:b/>
          <w:bCs/>
          <w:sz w:val="30"/>
          <w:szCs w:val="30"/>
        </w:rPr>
      </w:pPr>
    </w:p>
    <w:p w14:paraId="0AF0EBDF">
      <w:pPr>
        <w:spacing w:line="360" w:lineRule="auto"/>
        <w:jc w:val="center"/>
        <w:rPr>
          <w:rFonts w:ascii="宋体" w:hAnsi="宋体" w:cs="黑体"/>
          <w:b/>
          <w:bCs/>
          <w:sz w:val="30"/>
          <w:szCs w:val="30"/>
        </w:rPr>
      </w:pPr>
    </w:p>
    <w:p w14:paraId="7E193B41">
      <w:pPr>
        <w:spacing w:line="360" w:lineRule="auto"/>
        <w:jc w:val="center"/>
        <w:rPr>
          <w:rFonts w:ascii="宋体" w:hAnsi="宋体" w:cs="黑体"/>
          <w:b/>
          <w:bCs/>
          <w:sz w:val="30"/>
          <w:szCs w:val="30"/>
        </w:rPr>
      </w:pPr>
    </w:p>
    <w:p w14:paraId="1E48D482">
      <w:pPr>
        <w:spacing w:line="360" w:lineRule="auto"/>
        <w:jc w:val="center"/>
        <w:rPr>
          <w:rFonts w:ascii="宋体" w:hAnsi="宋体" w:cs="黑体"/>
          <w:b/>
          <w:bCs/>
          <w:sz w:val="30"/>
          <w:szCs w:val="30"/>
        </w:rPr>
      </w:pPr>
    </w:p>
    <w:p w14:paraId="0DF37BF5">
      <w:pPr>
        <w:spacing w:line="360" w:lineRule="auto"/>
        <w:jc w:val="center"/>
        <w:rPr>
          <w:rFonts w:ascii="宋体" w:hAnsi="宋体" w:cs="黑体"/>
          <w:b/>
          <w:bCs/>
          <w:sz w:val="30"/>
          <w:szCs w:val="30"/>
        </w:rPr>
      </w:pPr>
    </w:p>
    <w:p w14:paraId="6D111A8E">
      <w:pPr>
        <w:spacing w:line="360" w:lineRule="auto"/>
        <w:jc w:val="center"/>
        <w:rPr>
          <w:rFonts w:ascii="宋体" w:hAnsi="宋体" w:cs="黑体"/>
          <w:b/>
          <w:bCs/>
          <w:sz w:val="30"/>
          <w:szCs w:val="30"/>
        </w:rPr>
      </w:pPr>
    </w:p>
    <w:p w14:paraId="6578F773">
      <w:pPr>
        <w:spacing w:line="360" w:lineRule="auto"/>
        <w:jc w:val="center"/>
        <w:rPr>
          <w:rFonts w:ascii="宋体" w:hAnsi="宋体" w:cs="黑体"/>
          <w:b/>
          <w:bCs/>
          <w:sz w:val="30"/>
          <w:szCs w:val="30"/>
        </w:rPr>
      </w:pPr>
    </w:p>
    <w:p w14:paraId="29D0769F">
      <w:pPr>
        <w:spacing w:line="360" w:lineRule="auto"/>
        <w:jc w:val="center"/>
        <w:rPr>
          <w:rFonts w:ascii="宋体" w:hAnsi="宋体" w:cs="黑体"/>
          <w:b/>
          <w:bCs/>
          <w:sz w:val="30"/>
          <w:szCs w:val="30"/>
        </w:rPr>
      </w:pPr>
    </w:p>
    <w:p w14:paraId="53039883">
      <w:pPr>
        <w:spacing w:line="360" w:lineRule="auto"/>
        <w:jc w:val="center"/>
        <w:rPr>
          <w:rFonts w:ascii="宋体" w:hAnsi="宋体" w:cs="黑体"/>
          <w:b/>
          <w:bCs/>
          <w:sz w:val="30"/>
          <w:szCs w:val="30"/>
        </w:rPr>
      </w:pPr>
    </w:p>
    <w:p w14:paraId="51FCD5A8">
      <w:pPr>
        <w:spacing w:line="360" w:lineRule="auto"/>
        <w:jc w:val="center"/>
        <w:rPr>
          <w:rFonts w:ascii="宋体" w:hAnsi="宋体" w:cs="黑体"/>
          <w:b/>
          <w:bCs/>
          <w:sz w:val="30"/>
          <w:szCs w:val="30"/>
        </w:rPr>
      </w:pPr>
    </w:p>
    <w:p w14:paraId="0651E452">
      <w:pPr>
        <w:spacing w:line="360" w:lineRule="auto"/>
        <w:jc w:val="center"/>
        <w:rPr>
          <w:rFonts w:ascii="宋体" w:hAnsi="宋体" w:cs="黑体"/>
          <w:b/>
          <w:bCs/>
          <w:sz w:val="30"/>
          <w:szCs w:val="30"/>
        </w:rPr>
      </w:pPr>
    </w:p>
    <w:p w14:paraId="531CF5E2">
      <w:pPr>
        <w:spacing w:line="360" w:lineRule="auto"/>
        <w:jc w:val="center"/>
        <w:rPr>
          <w:rFonts w:ascii="宋体" w:hAnsi="宋体" w:cs="黑体"/>
          <w:b/>
          <w:bCs/>
          <w:sz w:val="30"/>
          <w:szCs w:val="30"/>
        </w:rPr>
      </w:pPr>
    </w:p>
    <w:p w14:paraId="3259893D">
      <w:pPr>
        <w:spacing w:line="360" w:lineRule="auto"/>
        <w:jc w:val="center"/>
        <w:rPr>
          <w:rFonts w:ascii="宋体" w:hAnsi="宋体" w:cs="黑体"/>
          <w:b/>
          <w:bCs/>
          <w:sz w:val="30"/>
          <w:szCs w:val="30"/>
        </w:rPr>
      </w:pPr>
    </w:p>
    <w:p w14:paraId="76255705">
      <w:pPr>
        <w:spacing w:line="360" w:lineRule="auto"/>
        <w:jc w:val="center"/>
        <w:rPr>
          <w:rFonts w:ascii="宋体" w:hAnsi="宋体" w:cs="黑体"/>
          <w:b/>
          <w:bCs/>
          <w:sz w:val="30"/>
          <w:szCs w:val="30"/>
        </w:rPr>
      </w:pPr>
    </w:p>
    <w:p w14:paraId="5A164446">
      <w:pPr>
        <w:spacing w:line="360" w:lineRule="auto"/>
        <w:jc w:val="center"/>
        <w:rPr>
          <w:rFonts w:ascii="宋体" w:hAnsi="宋体" w:cs="黑体"/>
          <w:b/>
          <w:bCs/>
          <w:sz w:val="30"/>
          <w:szCs w:val="30"/>
        </w:rPr>
      </w:pPr>
    </w:p>
    <w:p w14:paraId="2A119B7F">
      <w:pPr>
        <w:spacing w:line="360" w:lineRule="auto"/>
        <w:jc w:val="center"/>
        <w:rPr>
          <w:rFonts w:ascii="宋体" w:hAnsi="宋体" w:cs="黑体"/>
          <w:b/>
          <w:bCs/>
          <w:sz w:val="30"/>
          <w:szCs w:val="30"/>
        </w:rPr>
      </w:pPr>
    </w:p>
    <w:bookmarkEnd w:id="4"/>
    <w:p w14:paraId="6A67C374">
      <w:pPr>
        <w:spacing w:line="360" w:lineRule="auto"/>
        <w:rPr>
          <w:rFonts w:ascii="宋体" w:hAnsi="宋体"/>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E7C5">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14:paraId="2DA2549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F89F">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7</w:t>
    </w:r>
    <w:r>
      <w:fldChar w:fldCharType="end"/>
    </w:r>
  </w:p>
  <w:p w14:paraId="6BAF80A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1D0C">
    <w:pPr>
      <w:pStyle w:val="17"/>
      <w:jc w:val="center"/>
    </w:pPr>
    <w:r>
      <w:fldChar w:fldCharType="begin"/>
    </w:r>
    <w:r>
      <w:instrText xml:space="preserve">PAGE   \* MERGEFORMAT</w:instrText>
    </w:r>
    <w:r>
      <w:fldChar w:fldCharType="separate"/>
    </w:r>
    <w:r>
      <w:rPr>
        <w:lang w:val="zh-CN"/>
      </w:rPr>
      <w:t>1</w:t>
    </w:r>
    <w:r>
      <w:fldChar w:fldCharType="end"/>
    </w:r>
  </w:p>
  <w:p w14:paraId="6F015C3B">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C073">
    <w:pPr>
      <w:pStyle w:val="17"/>
      <w:jc w:val="center"/>
    </w:pPr>
    <w:r>
      <w:fldChar w:fldCharType="begin"/>
    </w:r>
    <w:r>
      <w:instrText xml:space="preserve"> PAGE  \* MERGEFORMAT </w:instrText>
    </w:r>
    <w:r>
      <w:fldChar w:fldCharType="separate"/>
    </w:r>
    <w:r>
      <w:t>10</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A7B6">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0170C"/>
    <w:multiLevelType w:val="singleLevel"/>
    <w:tmpl w:val="4900170C"/>
    <w:lvl w:ilvl="0" w:tentative="0">
      <w:start w:val="1"/>
      <w:numFmt w:val="decimal"/>
      <w:lvlText w:val="(%1)"/>
      <w:lvlJc w:val="left"/>
      <w:pPr>
        <w:ind w:left="425" w:hanging="425"/>
      </w:pPr>
      <w:rPr>
        <w:rFonts w:hint="default"/>
      </w:rPr>
    </w:lvl>
  </w:abstractNum>
  <w:abstractNum w:abstractNumId="1">
    <w:nsid w:val="6DC15584"/>
    <w:multiLevelType w:val="multilevel"/>
    <w:tmpl w:val="6DC15584"/>
    <w:lvl w:ilvl="0" w:tentative="0">
      <w:start w:val="1"/>
      <w:numFmt w:val="chineseCountingThousand"/>
      <w:lvlText w:val="%1、"/>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pStyle w:val="4"/>
      <w:lvlText w:val="4.1.%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5A8"/>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67ECD"/>
    <w:rsid w:val="0017033A"/>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776A6"/>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08E5"/>
    <w:rsid w:val="001A1D8A"/>
    <w:rsid w:val="001A2B2A"/>
    <w:rsid w:val="001A36E6"/>
    <w:rsid w:val="001A3AD2"/>
    <w:rsid w:val="001A41D5"/>
    <w:rsid w:val="001A4CC0"/>
    <w:rsid w:val="001A4E2A"/>
    <w:rsid w:val="001A4E5C"/>
    <w:rsid w:val="001A4F1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5E3"/>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161"/>
    <w:rsid w:val="00222663"/>
    <w:rsid w:val="00222DD1"/>
    <w:rsid w:val="00222FA1"/>
    <w:rsid w:val="002236C4"/>
    <w:rsid w:val="002236ED"/>
    <w:rsid w:val="0022384E"/>
    <w:rsid w:val="00223961"/>
    <w:rsid w:val="00223B55"/>
    <w:rsid w:val="002243BE"/>
    <w:rsid w:val="002244A5"/>
    <w:rsid w:val="00224571"/>
    <w:rsid w:val="00225669"/>
    <w:rsid w:val="00225908"/>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2A5"/>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6483"/>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9B4"/>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5F3"/>
    <w:rsid w:val="002F27E0"/>
    <w:rsid w:val="002F35B4"/>
    <w:rsid w:val="002F35EE"/>
    <w:rsid w:val="002F38B1"/>
    <w:rsid w:val="002F4507"/>
    <w:rsid w:val="002F51F8"/>
    <w:rsid w:val="002F5865"/>
    <w:rsid w:val="002F6434"/>
    <w:rsid w:val="002F687D"/>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07FA4"/>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91E"/>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14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4888"/>
    <w:rsid w:val="0042543D"/>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C87"/>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0B89"/>
    <w:rsid w:val="004B144B"/>
    <w:rsid w:val="004B174A"/>
    <w:rsid w:val="004B1B60"/>
    <w:rsid w:val="004B1F3E"/>
    <w:rsid w:val="004B2704"/>
    <w:rsid w:val="004B3251"/>
    <w:rsid w:val="004B3BAF"/>
    <w:rsid w:val="004B3E00"/>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48D"/>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3E05"/>
    <w:rsid w:val="00504A77"/>
    <w:rsid w:val="00504B4E"/>
    <w:rsid w:val="00504CB0"/>
    <w:rsid w:val="00505B08"/>
    <w:rsid w:val="00505B67"/>
    <w:rsid w:val="00505F3D"/>
    <w:rsid w:val="0050639E"/>
    <w:rsid w:val="00506C04"/>
    <w:rsid w:val="00507552"/>
    <w:rsid w:val="00507797"/>
    <w:rsid w:val="00510EC4"/>
    <w:rsid w:val="005110AE"/>
    <w:rsid w:val="0051119D"/>
    <w:rsid w:val="00511E68"/>
    <w:rsid w:val="0051254A"/>
    <w:rsid w:val="00512C4B"/>
    <w:rsid w:val="00512D7C"/>
    <w:rsid w:val="005134ED"/>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1FF7"/>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84F"/>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584"/>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A6429"/>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955"/>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595"/>
    <w:rsid w:val="0082380E"/>
    <w:rsid w:val="00823B6F"/>
    <w:rsid w:val="0082474B"/>
    <w:rsid w:val="00824EF3"/>
    <w:rsid w:val="008250F8"/>
    <w:rsid w:val="00825BE6"/>
    <w:rsid w:val="00825EB6"/>
    <w:rsid w:val="00825F14"/>
    <w:rsid w:val="008268A0"/>
    <w:rsid w:val="00826AE8"/>
    <w:rsid w:val="0082700A"/>
    <w:rsid w:val="00827685"/>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5F4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C7F27"/>
    <w:rsid w:val="008D0055"/>
    <w:rsid w:val="008D1128"/>
    <w:rsid w:val="008D1450"/>
    <w:rsid w:val="008D1C62"/>
    <w:rsid w:val="008D1E45"/>
    <w:rsid w:val="008D2578"/>
    <w:rsid w:val="008D29EB"/>
    <w:rsid w:val="008D2A4B"/>
    <w:rsid w:val="008D4050"/>
    <w:rsid w:val="008D568C"/>
    <w:rsid w:val="008D5BDF"/>
    <w:rsid w:val="008D5D56"/>
    <w:rsid w:val="008D634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52A"/>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C49"/>
    <w:rsid w:val="00936DB8"/>
    <w:rsid w:val="00937518"/>
    <w:rsid w:val="00937813"/>
    <w:rsid w:val="0094121A"/>
    <w:rsid w:val="00941B54"/>
    <w:rsid w:val="009423B7"/>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382"/>
    <w:rsid w:val="009D28EC"/>
    <w:rsid w:val="009D2913"/>
    <w:rsid w:val="009D36BD"/>
    <w:rsid w:val="009D3BDD"/>
    <w:rsid w:val="009D4428"/>
    <w:rsid w:val="009D467B"/>
    <w:rsid w:val="009D47AB"/>
    <w:rsid w:val="009D4D0E"/>
    <w:rsid w:val="009D5D2C"/>
    <w:rsid w:val="009D60C7"/>
    <w:rsid w:val="009D6374"/>
    <w:rsid w:val="009D65E3"/>
    <w:rsid w:val="009D7489"/>
    <w:rsid w:val="009D7496"/>
    <w:rsid w:val="009E0009"/>
    <w:rsid w:val="009E009E"/>
    <w:rsid w:val="009E1016"/>
    <w:rsid w:val="009E2351"/>
    <w:rsid w:val="009E2E06"/>
    <w:rsid w:val="009E40CE"/>
    <w:rsid w:val="009E47A5"/>
    <w:rsid w:val="009E4A81"/>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7C"/>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2D8E"/>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939"/>
    <w:rsid w:val="00B07D11"/>
    <w:rsid w:val="00B07E48"/>
    <w:rsid w:val="00B07F4D"/>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369D"/>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A4B"/>
    <w:rsid w:val="00BB0C31"/>
    <w:rsid w:val="00BB1873"/>
    <w:rsid w:val="00BB2164"/>
    <w:rsid w:val="00BB241E"/>
    <w:rsid w:val="00BB2428"/>
    <w:rsid w:val="00BB267E"/>
    <w:rsid w:val="00BB2ADD"/>
    <w:rsid w:val="00BB2D28"/>
    <w:rsid w:val="00BB2F35"/>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7F4"/>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20"/>
    <w:rsid w:val="00C51949"/>
    <w:rsid w:val="00C51A24"/>
    <w:rsid w:val="00C51AB0"/>
    <w:rsid w:val="00C51C67"/>
    <w:rsid w:val="00C52047"/>
    <w:rsid w:val="00C5246D"/>
    <w:rsid w:val="00C52CB7"/>
    <w:rsid w:val="00C52CF9"/>
    <w:rsid w:val="00C53774"/>
    <w:rsid w:val="00C54011"/>
    <w:rsid w:val="00C5406A"/>
    <w:rsid w:val="00C5413E"/>
    <w:rsid w:val="00C544F9"/>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1A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35E2"/>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3E9D"/>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27C64"/>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4D99"/>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0EC9"/>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0C4"/>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105"/>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1AA6"/>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24B7"/>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3E0F"/>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324854"/>
    <w:rsid w:val="014E52C7"/>
    <w:rsid w:val="021A59A7"/>
    <w:rsid w:val="02404022"/>
    <w:rsid w:val="02F9334A"/>
    <w:rsid w:val="04BB6011"/>
    <w:rsid w:val="05C068EB"/>
    <w:rsid w:val="079A5E3E"/>
    <w:rsid w:val="0A072DB6"/>
    <w:rsid w:val="0BAE2C4D"/>
    <w:rsid w:val="0D3B4EBB"/>
    <w:rsid w:val="103D6CFD"/>
    <w:rsid w:val="11F31059"/>
    <w:rsid w:val="132B2696"/>
    <w:rsid w:val="16657A77"/>
    <w:rsid w:val="188F4DBC"/>
    <w:rsid w:val="2252451B"/>
    <w:rsid w:val="261332F5"/>
    <w:rsid w:val="27454B8F"/>
    <w:rsid w:val="29524E24"/>
    <w:rsid w:val="2B6B0FFD"/>
    <w:rsid w:val="2B925CFA"/>
    <w:rsid w:val="2CEB0C53"/>
    <w:rsid w:val="2EBE501C"/>
    <w:rsid w:val="2F565CA1"/>
    <w:rsid w:val="312C634A"/>
    <w:rsid w:val="329D4AFA"/>
    <w:rsid w:val="33F60296"/>
    <w:rsid w:val="35666A5B"/>
    <w:rsid w:val="37072544"/>
    <w:rsid w:val="385F690C"/>
    <w:rsid w:val="3B3C3A5E"/>
    <w:rsid w:val="4311712F"/>
    <w:rsid w:val="453779AD"/>
    <w:rsid w:val="45E8282B"/>
    <w:rsid w:val="46A2470C"/>
    <w:rsid w:val="478E1645"/>
    <w:rsid w:val="501C40BF"/>
    <w:rsid w:val="549C5253"/>
    <w:rsid w:val="5C12559D"/>
    <w:rsid w:val="5DC14E07"/>
    <w:rsid w:val="62490B14"/>
    <w:rsid w:val="636721B0"/>
    <w:rsid w:val="63896C89"/>
    <w:rsid w:val="67344343"/>
    <w:rsid w:val="68401A24"/>
    <w:rsid w:val="689A185D"/>
    <w:rsid w:val="6E063CAC"/>
    <w:rsid w:val="70DF35D5"/>
    <w:rsid w:val="789559D4"/>
    <w:rsid w:val="7A692C8E"/>
    <w:rsid w:val="7B88662C"/>
    <w:rsid w:val="7BAD1EBA"/>
    <w:rsid w:val="7EEC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9"/>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7"/>
    <w:qFormat/>
    <w:uiPriority w:val="9"/>
    <w:pPr>
      <w:keepNext/>
      <w:keepLines/>
      <w:tabs>
        <w:tab w:val="left" w:pos="1008"/>
      </w:tabs>
      <w:spacing w:before="280" w:after="290" w:line="376" w:lineRule="auto"/>
      <w:ind w:firstLine="200" w:firstLineChars="200"/>
      <w:outlineLvl w:val="4"/>
    </w:pPr>
    <w:rPr>
      <w:rFonts w:cs="Calibri" w:asciiTheme="minorEastAsia" w:hAnsiTheme="minorEastAs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39"/>
    <w:pPr>
      <w:ind w:left="1260"/>
      <w:jc w:val="left"/>
    </w:pPr>
    <w:rPr>
      <w:sz w:val="20"/>
      <w:szCs w:val="20"/>
    </w:rPr>
  </w:style>
  <w:style w:type="paragraph" w:styleId="8">
    <w:name w:val="Document Map"/>
    <w:basedOn w:val="1"/>
    <w:link w:val="62"/>
    <w:qFormat/>
    <w:uiPriority w:val="0"/>
    <w:rPr>
      <w:rFonts w:ascii="宋体"/>
      <w:sz w:val="18"/>
      <w:szCs w:val="18"/>
    </w:rPr>
  </w:style>
  <w:style w:type="paragraph" w:styleId="9">
    <w:name w:val="annotation text"/>
    <w:basedOn w:val="1"/>
    <w:link w:val="46"/>
    <w:semiHidden/>
    <w:qFormat/>
    <w:uiPriority w:val="99"/>
    <w:pPr>
      <w:jc w:val="left"/>
    </w:pPr>
    <w:rPr>
      <w:szCs w:val="20"/>
    </w:rPr>
  </w:style>
  <w:style w:type="paragraph" w:styleId="10">
    <w:name w:val="Body Text"/>
    <w:basedOn w:val="1"/>
    <w:link w:val="44"/>
    <w:qFormat/>
    <w:uiPriority w:val="0"/>
    <w:pPr>
      <w:spacing w:after="120"/>
    </w:pPr>
    <w:rPr>
      <w:sz w:val="24"/>
      <w:szCs w:val="20"/>
    </w:rPr>
  </w:style>
  <w:style w:type="paragraph" w:styleId="11">
    <w:name w:val="toc 5"/>
    <w:basedOn w:val="1"/>
    <w:next w:val="1"/>
    <w:semiHidden/>
    <w:qFormat/>
    <w:uiPriority w:val="39"/>
    <w:pPr>
      <w:ind w:left="840"/>
      <w:jc w:val="left"/>
    </w:pPr>
    <w:rPr>
      <w:sz w:val="20"/>
      <w:szCs w:val="20"/>
    </w:rPr>
  </w:style>
  <w:style w:type="paragraph" w:styleId="12">
    <w:name w:val="toc 3"/>
    <w:basedOn w:val="1"/>
    <w:next w:val="1"/>
    <w:semiHidden/>
    <w:qFormat/>
    <w:uiPriority w:val="39"/>
    <w:pPr>
      <w:ind w:left="420"/>
      <w:jc w:val="left"/>
    </w:pPr>
    <w:rPr>
      <w:sz w:val="20"/>
      <w:szCs w:val="20"/>
    </w:rPr>
  </w:style>
  <w:style w:type="paragraph" w:styleId="13">
    <w:name w:val="Plain Text"/>
    <w:basedOn w:val="1"/>
    <w:link w:val="39"/>
    <w:qFormat/>
    <w:uiPriority w:val="0"/>
    <w:rPr>
      <w:rFonts w:ascii="宋体" w:hAnsi="Courier New"/>
      <w:szCs w:val="20"/>
    </w:rPr>
  </w:style>
  <w:style w:type="paragraph" w:styleId="14">
    <w:name w:val="toc 8"/>
    <w:basedOn w:val="1"/>
    <w:next w:val="1"/>
    <w:semiHidden/>
    <w:qFormat/>
    <w:uiPriority w:val="39"/>
    <w:pPr>
      <w:ind w:left="1470"/>
      <w:jc w:val="left"/>
    </w:pPr>
    <w:rPr>
      <w:sz w:val="20"/>
      <w:szCs w:val="20"/>
    </w:rPr>
  </w:style>
  <w:style w:type="paragraph" w:styleId="15">
    <w:name w:val="Date"/>
    <w:basedOn w:val="1"/>
    <w:next w:val="1"/>
    <w:link w:val="51"/>
    <w:qFormat/>
    <w:uiPriority w:val="99"/>
    <w:pPr>
      <w:ind w:left="100" w:leftChars="2500"/>
    </w:pPr>
  </w:style>
  <w:style w:type="paragraph" w:styleId="16">
    <w:name w:val="Balloon Text"/>
    <w:basedOn w:val="1"/>
    <w:link w:val="43"/>
    <w:semiHidden/>
    <w:qFormat/>
    <w:uiPriority w:val="99"/>
    <w:rPr>
      <w:sz w:val="18"/>
      <w:szCs w:val="18"/>
    </w:rPr>
  </w:style>
  <w:style w:type="paragraph" w:styleId="17">
    <w:name w:val="footer"/>
    <w:basedOn w:val="1"/>
    <w:link w:val="42"/>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240" w:after="120"/>
      <w:jc w:val="left"/>
    </w:pPr>
    <w:rPr>
      <w:b/>
      <w:bCs/>
      <w:sz w:val="20"/>
      <w:szCs w:val="20"/>
    </w:rPr>
  </w:style>
  <w:style w:type="paragraph" w:styleId="20">
    <w:name w:val="toc 4"/>
    <w:basedOn w:val="1"/>
    <w:next w:val="1"/>
    <w:semiHidden/>
    <w:qFormat/>
    <w:uiPriority w:val="39"/>
    <w:pPr>
      <w:ind w:left="630"/>
      <w:jc w:val="left"/>
    </w:pPr>
    <w:rPr>
      <w:sz w:val="20"/>
      <w:szCs w:val="20"/>
    </w:rPr>
  </w:style>
  <w:style w:type="paragraph" w:styleId="21">
    <w:name w:val="toc 6"/>
    <w:basedOn w:val="1"/>
    <w:next w:val="1"/>
    <w:semiHidden/>
    <w:qFormat/>
    <w:uiPriority w:val="39"/>
    <w:pPr>
      <w:ind w:left="1050"/>
      <w:jc w:val="left"/>
    </w:pPr>
    <w:rPr>
      <w:sz w:val="20"/>
      <w:szCs w:val="20"/>
    </w:rPr>
  </w:style>
  <w:style w:type="paragraph" w:styleId="22">
    <w:name w:val="toc 2"/>
    <w:basedOn w:val="1"/>
    <w:next w:val="1"/>
    <w:qFormat/>
    <w:uiPriority w:val="39"/>
    <w:pPr>
      <w:spacing w:before="120"/>
      <w:ind w:left="210"/>
      <w:jc w:val="left"/>
    </w:pPr>
    <w:rPr>
      <w:i/>
      <w:iCs/>
      <w:sz w:val="20"/>
      <w:szCs w:val="20"/>
    </w:rPr>
  </w:style>
  <w:style w:type="paragraph" w:styleId="23">
    <w:name w:val="toc 9"/>
    <w:basedOn w:val="1"/>
    <w:next w:val="1"/>
    <w:semiHidden/>
    <w:qFormat/>
    <w:uiPriority w:val="39"/>
    <w:pPr>
      <w:ind w:left="1680"/>
      <w:jc w:val="left"/>
    </w:pPr>
    <w:rPr>
      <w:sz w:val="20"/>
      <w:szCs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qFormat/>
    <w:uiPriority w:val="99"/>
    <w:rPr>
      <w:rFonts w:cs="Times New Roman"/>
    </w:rPr>
  </w:style>
  <w:style w:type="character" w:styleId="30">
    <w:name w:val="FollowedHyperlink"/>
    <w:qFormat/>
    <w:uiPriority w:val="0"/>
    <w:rPr>
      <w:color w:val="800080"/>
      <w:u w:val="none"/>
    </w:rPr>
  </w:style>
  <w:style w:type="character" w:styleId="31">
    <w:name w:val="Hyperlink"/>
    <w:basedOn w:val="27"/>
    <w:qFormat/>
    <w:uiPriority w:val="99"/>
    <w:rPr>
      <w:color w:val="0000FF"/>
      <w:u w:val="none"/>
    </w:rPr>
  </w:style>
  <w:style w:type="character" w:customStyle="1" w:styleId="32">
    <w:name w:val="Plain Text Char1"/>
    <w:semiHidden/>
    <w:qFormat/>
    <w:uiPriority w:val="99"/>
    <w:rPr>
      <w:rFonts w:ascii="宋体" w:hAnsi="Courier New" w:cs="Courier New"/>
      <w:kern w:val="2"/>
      <w:sz w:val="21"/>
      <w:szCs w:val="21"/>
    </w:rPr>
  </w:style>
  <w:style w:type="character" w:customStyle="1" w:styleId="33">
    <w:name w:val="hang1"/>
    <w:qFormat/>
    <w:uiPriority w:val="0"/>
    <w:rPr>
      <w:rFonts w:cs="Times New Roman"/>
    </w:rPr>
  </w:style>
  <w:style w:type="character" w:customStyle="1" w:styleId="34">
    <w:name w:val="纯文本 Char1"/>
    <w:qFormat/>
    <w:locked/>
    <w:uiPriority w:val="0"/>
    <w:rPr>
      <w:rFonts w:ascii="宋体" w:hAnsi="Courier New" w:eastAsia="宋体"/>
      <w:kern w:val="2"/>
      <w:sz w:val="21"/>
      <w:lang w:val="en-US" w:eastAsia="zh-CN"/>
    </w:rPr>
  </w:style>
  <w:style w:type="character" w:customStyle="1" w:styleId="35">
    <w:name w:val="Body Text Char1"/>
    <w:semiHidden/>
    <w:qFormat/>
    <w:uiPriority w:val="99"/>
    <w:rPr>
      <w:kern w:val="2"/>
      <w:sz w:val="21"/>
      <w:szCs w:val="24"/>
    </w:rPr>
  </w:style>
  <w:style w:type="character" w:customStyle="1" w:styleId="36">
    <w:name w:val="页眉 字符"/>
    <w:link w:val="18"/>
    <w:semiHidden/>
    <w:qFormat/>
    <w:uiPriority w:val="99"/>
    <w:rPr>
      <w:kern w:val="2"/>
      <w:sz w:val="18"/>
      <w:szCs w:val="18"/>
    </w:rPr>
  </w:style>
  <w:style w:type="character" w:customStyle="1" w:styleId="37">
    <w:name w:val="正文文本 Char1"/>
    <w:qFormat/>
    <w:uiPriority w:val="0"/>
    <w:rPr>
      <w:kern w:val="2"/>
      <w:sz w:val="24"/>
    </w:rPr>
  </w:style>
  <w:style w:type="character" w:customStyle="1" w:styleId="38">
    <w:name w:val="普通文字 Char2"/>
    <w:qFormat/>
    <w:locked/>
    <w:uiPriority w:val="0"/>
    <w:rPr>
      <w:rFonts w:ascii="宋体" w:hAnsi="Courier New" w:eastAsia="宋体"/>
    </w:rPr>
  </w:style>
  <w:style w:type="character" w:customStyle="1" w:styleId="39">
    <w:name w:val="纯文本 字符"/>
    <w:link w:val="13"/>
    <w:qFormat/>
    <w:locked/>
    <w:uiPriority w:val="0"/>
    <w:rPr>
      <w:rFonts w:ascii="宋体" w:hAnsi="Courier New" w:eastAsia="宋体"/>
      <w:kern w:val="2"/>
      <w:sz w:val="21"/>
      <w:lang w:val="en-US" w:eastAsia="zh-CN"/>
    </w:rPr>
  </w:style>
  <w:style w:type="character" w:customStyle="1" w:styleId="40">
    <w:name w:val="标题 2 字符"/>
    <w:link w:val="3"/>
    <w:qFormat/>
    <w:locked/>
    <w:uiPriority w:val="0"/>
    <w:rPr>
      <w:rFonts w:ascii="Arial" w:hAnsi="Arial" w:eastAsia="黑体"/>
      <w:b/>
      <w:kern w:val="2"/>
      <w:sz w:val="32"/>
      <w:lang w:val="en-US" w:eastAsia="zh-CN"/>
    </w:rPr>
  </w:style>
  <w:style w:type="character" w:customStyle="1" w:styleId="41">
    <w:name w:val="Char Char2"/>
    <w:qFormat/>
    <w:uiPriority w:val="0"/>
    <w:rPr>
      <w:rFonts w:ascii="Arial" w:hAnsi="Arial" w:eastAsia="黑体"/>
      <w:b/>
      <w:kern w:val="2"/>
      <w:sz w:val="32"/>
      <w:lang w:val="en-US" w:eastAsia="zh-CN"/>
    </w:rPr>
  </w:style>
  <w:style w:type="character" w:customStyle="1" w:styleId="42">
    <w:name w:val="页脚 字符"/>
    <w:link w:val="17"/>
    <w:qFormat/>
    <w:locked/>
    <w:uiPriority w:val="99"/>
    <w:rPr>
      <w:kern w:val="2"/>
      <w:sz w:val="18"/>
    </w:rPr>
  </w:style>
  <w:style w:type="character" w:customStyle="1" w:styleId="43">
    <w:name w:val="批注框文本 字符"/>
    <w:link w:val="16"/>
    <w:semiHidden/>
    <w:qFormat/>
    <w:uiPriority w:val="99"/>
    <w:rPr>
      <w:kern w:val="2"/>
      <w:sz w:val="16"/>
      <w:szCs w:val="0"/>
    </w:rPr>
  </w:style>
  <w:style w:type="character" w:customStyle="1" w:styleId="44">
    <w:name w:val="正文文本 字符"/>
    <w:link w:val="10"/>
    <w:qFormat/>
    <w:locked/>
    <w:uiPriority w:val="0"/>
    <w:rPr>
      <w:kern w:val="2"/>
      <w:sz w:val="24"/>
    </w:rPr>
  </w:style>
  <w:style w:type="character" w:customStyle="1" w:styleId="45">
    <w:name w:val="标题 2 Char1"/>
    <w:qFormat/>
    <w:uiPriority w:val="0"/>
    <w:rPr>
      <w:rFonts w:ascii="Arial" w:hAnsi="Arial" w:eastAsia="黑体"/>
      <w:b/>
      <w:kern w:val="2"/>
      <w:sz w:val="32"/>
      <w:lang w:val="en-US" w:eastAsia="zh-CN"/>
    </w:rPr>
  </w:style>
  <w:style w:type="character" w:customStyle="1" w:styleId="46">
    <w:name w:val="批注文字 字符"/>
    <w:link w:val="9"/>
    <w:semiHidden/>
    <w:qFormat/>
    <w:uiPriority w:val="99"/>
    <w:rPr>
      <w:kern w:val="2"/>
      <w:sz w:val="21"/>
      <w:szCs w:val="24"/>
    </w:rPr>
  </w:style>
  <w:style w:type="character" w:customStyle="1" w:styleId="47">
    <w:name w:val="标题 1 字符"/>
    <w:link w:val="2"/>
    <w:qFormat/>
    <w:locked/>
    <w:uiPriority w:val="9"/>
    <w:rPr>
      <w:rFonts w:eastAsia="宋体"/>
      <w:b/>
      <w:kern w:val="44"/>
      <w:sz w:val="44"/>
      <w:lang w:val="en-US" w:eastAsia="zh-CN"/>
    </w:rPr>
  </w:style>
  <w:style w:type="character" w:customStyle="1" w:styleId="48">
    <w:name w:val="bold1"/>
    <w:qFormat/>
    <w:uiPriority w:val="0"/>
    <w:rPr>
      <w:b/>
    </w:rPr>
  </w:style>
  <w:style w:type="character" w:customStyle="1" w:styleId="49">
    <w:name w:val="标题 3 字符"/>
    <w:link w:val="4"/>
    <w:qFormat/>
    <w:uiPriority w:val="0"/>
    <w:rPr>
      <w:b/>
      <w:bCs/>
      <w:kern w:val="2"/>
      <w:sz w:val="32"/>
      <w:szCs w:val="32"/>
    </w:rPr>
  </w:style>
  <w:style w:type="character" w:customStyle="1" w:styleId="50">
    <w:name w:val="apple-converted-space"/>
    <w:qFormat/>
    <w:uiPriority w:val="0"/>
    <w:rPr>
      <w:rFonts w:cs="Times New Roman"/>
    </w:rPr>
  </w:style>
  <w:style w:type="character" w:customStyle="1" w:styleId="51">
    <w:name w:val="日期 字符"/>
    <w:link w:val="15"/>
    <w:qFormat/>
    <w:locked/>
    <w:uiPriority w:val="99"/>
    <w:rPr>
      <w:kern w:val="2"/>
      <w:sz w:val="24"/>
    </w:rPr>
  </w:style>
  <w:style w:type="paragraph" w:customStyle="1" w:styleId="52">
    <w:name w:val="Char Char"/>
    <w:basedOn w:val="1"/>
    <w:qFormat/>
    <w:uiPriority w:val="0"/>
    <w:pPr>
      <w:widowControl/>
      <w:spacing w:after="160" w:line="240" w:lineRule="exact"/>
      <w:jc w:val="left"/>
    </w:pPr>
  </w:style>
  <w:style w:type="paragraph" w:customStyle="1" w:styleId="53">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样式 样式 标题 3 + 加粗 + 加粗"/>
    <w:basedOn w:val="1"/>
    <w:qFormat/>
    <w:uiPriority w:val="0"/>
    <w:pPr>
      <w:tabs>
        <w:tab w:val="left" w:pos="420"/>
      </w:tabs>
      <w:ind w:left="420" w:hanging="420"/>
    </w:pPr>
  </w:style>
  <w:style w:type="paragraph" w:customStyle="1" w:styleId="56">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
    <w:name w:val="列出段落2"/>
    <w:basedOn w:val="1"/>
    <w:qFormat/>
    <w:uiPriority w:val="0"/>
    <w:pPr>
      <w:ind w:firstLine="420" w:firstLineChars="200"/>
    </w:pPr>
  </w:style>
  <w:style w:type="paragraph" w:customStyle="1" w:styleId="58">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9">
    <w:name w:val="样式 左侧:  2 字符 首行缩进:  2 字符"/>
    <w:basedOn w:val="1"/>
    <w:qFormat/>
    <w:uiPriority w:val="0"/>
    <w:pPr>
      <w:ind w:left="200" w:leftChars="200" w:firstLine="200" w:firstLineChars="200"/>
    </w:pPr>
    <w:rPr>
      <w:rFonts w:ascii="Verdana" w:hAnsi="Verdana"/>
      <w:szCs w:val="20"/>
    </w:rPr>
  </w:style>
  <w:style w:type="paragraph" w:customStyle="1" w:styleId="60">
    <w:name w:val="列出段落11"/>
    <w:basedOn w:val="1"/>
    <w:qFormat/>
    <w:uiPriority w:val="34"/>
    <w:pPr>
      <w:ind w:firstLine="420" w:firstLineChars="200"/>
    </w:pPr>
  </w:style>
  <w:style w:type="paragraph" w:customStyle="1" w:styleId="61">
    <w:name w:val="默认段落字体 Para Char Char Char Char Char Char Char Char Char1 Char"/>
    <w:basedOn w:val="1"/>
    <w:qFormat/>
    <w:uiPriority w:val="0"/>
    <w:rPr>
      <w:rFonts w:ascii="Tahoma" w:hAnsi="Tahoma"/>
      <w:sz w:val="24"/>
      <w:szCs w:val="20"/>
    </w:rPr>
  </w:style>
  <w:style w:type="character" w:customStyle="1" w:styleId="62">
    <w:name w:val="文档结构图 字符"/>
    <w:basedOn w:val="27"/>
    <w:link w:val="8"/>
    <w:qFormat/>
    <w:uiPriority w:val="0"/>
    <w:rPr>
      <w:rFonts w:ascii="宋体"/>
      <w:kern w:val="2"/>
      <w:sz w:val="18"/>
      <w:szCs w:val="18"/>
    </w:rPr>
  </w:style>
  <w:style w:type="paragraph" w:styleId="63">
    <w:name w:val="List Paragraph"/>
    <w:basedOn w:val="1"/>
    <w:link w:val="68"/>
    <w:qFormat/>
    <w:uiPriority w:val="34"/>
    <w:pPr>
      <w:ind w:firstLine="420" w:firstLineChars="200"/>
    </w:pPr>
  </w:style>
  <w:style w:type="paragraph" w:customStyle="1" w:styleId="64">
    <w:name w:val="0312表格"/>
    <w:basedOn w:val="1"/>
    <w:link w:val="65"/>
    <w:qFormat/>
    <w:uiPriority w:val="0"/>
    <w:pPr>
      <w:spacing w:line="360" w:lineRule="auto"/>
    </w:pPr>
    <w:rPr>
      <w:rFonts w:asciiTheme="minorEastAsia" w:hAnsiTheme="minorEastAsia"/>
      <w:sz w:val="24"/>
      <w:szCs w:val="28"/>
    </w:rPr>
  </w:style>
  <w:style w:type="character" w:customStyle="1" w:styleId="65">
    <w:name w:val="0312表格 字符"/>
    <w:basedOn w:val="27"/>
    <w:link w:val="64"/>
    <w:qFormat/>
    <w:uiPriority w:val="0"/>
    <w:rPr>
      <w:rFonts w:asciiTheme="minorEastAsia" w:hAnsiTheme="minorEastAsia"/>
      <w:kern w:val="2"/>
      <w:sz w:val="24"/>
      <w:szCs w:val="28"/>
    </w:rPr>
  </w:style>
  <w:style w:type="character" w:customStyle="1" w:styleId="66">
    <w:name w:val="标题 4 字符"/>
    <w:basedOn w:val="27"/>
    <w:link w:val="5"/>
    <w:semiHidden/>
    <w:qFormat/>
    <w:uiPriority w:val="0"/>
    <w:rPr>
      <w:rFonts w:asciiTheme="majorHAnsi" w:hAnsiTheme="majorHAnsi" w:eastAsiaTheme="majorEastAsia" w:cstheme="majorBidi"/>
      <w:b/>
      <w:bCs/>
      <w:kern w:val="2"/>
      <w:sz w:val="28"/>
      <w:szCs w:val="28"/>
    </w:rPr>
  </w:style>
  <w:style w:type="character" w:customStyle="1" w:styleId="67">
    <w:name w:val="标题 5 字符"/>
    <w:basedOn w:val="27"/>
    <w:link w:val="6"/>
    <w:qFormat/>
    <w:uiPriority w:val="9"/>
    <w:rPr>
      <w:rFonts w:cs="Calibri" w:asciiTheme="minorEastAsia" w:hAnsiTheme="minorEastAsia"/>
      <w:b/>
      <w:bCs/>
      <w:kern w:val="2"/>
      <w:sz w:val="28"/>
      <w:szCs w:val="28"/>
    </w:rPr>
  </w:style>
  <w:style w:type="character" w:customStyle="1" w:styleId="68">
    <w:name w:val="列出段落 字符"/>
    <w:link w:val="63"/>
    <w:qFormat/>
    <w:locked/>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890</Words>
  <Characters>919</Characters>
  <Lines>64</Lines>
  <Paragraphs>18</Paragraphs>
  <TotalTime>4</TotalTime>
  <ScaleCrop>false</ScaleCrop>
  <LinksUpToDate>false</LinksUpToDate>
  <CharactersWithSpaces>1084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八月未央</cp:lastModifiedBy>
  <cp:lastPrinted>2017-07-17T00:55:00Z</cp:lastPrinted>
  <dcterms:modified xsi:type="dcterms:W3CDTF">2026-02-24T10:35:25Z</dcterms:modified>
  <dc:title>南康市环宇招标代理有限公司</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070703B40F6548668C75CAE1EA8FEB87_13</vt:lpwstr>
  </property>
  <property fmtid="{D5CDD505-2E9C-101B-9397-08002B2CF9AE}" pid="4" name="KSOTemplateDocerSaveRecord">
    <vt:lpwstr>eyJoZGlkIjoiYTgwNzY1NTZjYThhYWQ4ZDM1NDA5YzczOTAzOTkwNWEiLCJ1c2VySWQiOiIxMDUzNjU2ODAzIn0=</vt:lpwstr>
  </property>
</Properties>
</file>