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2D3DD">
      <w:pPr>
        <w:widowControl/>
        <w:spacing w:beforeAutospacing="1" w:afterAutospacing="1" w:line="360" w:lineRule="auto"/>
        <w:ind w:left="0" w:leftChars="0" w:firstLine="0" w:firstLineChars="0"/>
        <w:rPr>
          <w:rFonts w:ascii="宋体" w:hAnsi="宋体" w:cs="宋体"/>
          <w:bCs/>
          <w:kern w:val="0"/>
          <w:sz w:val="36"/>
          <w:szCs w:val="36"/>
        </w:rPr>
      </w:pPr>
      <w:r>
        <w:rPr>
          <w:rFonts w:hint="eastAsia" w:ascii="宋体" w:hAnsi="宋体" w:cs="宋体"/>
          <w:bCs/>
          <w:kern w:val="0"/>
          <w:sz w:val="36"/>
          <w:szCs w:val="36"/>
        </w:rPr>
        <w:t xml:space="preserve"> 附件1</w:t>
      </w:r>
    </w:p>
    <w:p w14:paraId="70067733">
      <w:pPr>
        <w:widowControl/>
        <w:spacing w:beforeAutospacing="1" w:afterAutospacing="1" w:line="360" w:lineRule="auto"/>
        <w:ind w:left="0" w:leftChars="0" w:firstLine="0" w:firstLineChars="0"/>
        <w:jc w:val="both"/>
        <w:rPr>
          <w:rFonts w:ascii="宋体" w:cs="宋体"/>
          <w:kern w:val="0"/>
          <w:sz w:val="36"/>
          <w:szCs w:val="36"/>
        </w:rPr>
      </w:pPr>
      <w:r>
        <w:rPr>
          <w:rFonts w:hint="eastAsia" w:ascii="宋体" w:hAnsi="宋体" w:cs="宋体"/>
          <w:bCs/>
          <w:kern w:val="0"/>
          <w:sz w:val="36"/>
          <w:szCs w:val="36"/>
        </w:rPr>
        <w:t xml:space="preserve">          </w:t>
      </w:r>
      <w:r>
        <w:rPr>
          <w:rFonts w:hint="eastAsia" w:ascii="宋体" w:hAnsi="宋体" w:cs="宋体"/>
          <w:bCs/>
          <w:kern w:val="0"/>
          <w:sz w:val="36"/>
          <w:szCs w:val="36"/>
          <w:lang w:val="en-US" w:eastAsia="zh-CN"/>
        </w:rPr>
        <w:t xml:space="preserve">                           </w:t>
      </w:r>
      <w:r>
        <w:rPr>
          <w:rFonts w:hint="eastAsia" w:ascii="宋体" w:hAnsi="宋体" w:cs="宋体"/>
          <w:bCs/>
          <w:kern w:val="0"/>
          <w:sz w:val="36"/>
          <w:szCs w:val="36"/>
        </w:rPr>
        <w:t>正（副）本</w:t>
      </w:r>
    </w:p>
    <w:p w14:paraId="39FE6589">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14:paraId="23707914">
      <w:pPr>
        <w:pStyle w:val="3"/>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14:paraId="0299D336">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14:paraId="2912E58F">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14:paraId="30B6B8D5">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14:paraId="7BC273C7">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14:paraId="0D06534C">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14:paraId="30EE6B08">
      <w:pPr>
        <w:widowControl/>
        <w:spacing w:beforeAutospacing="1" w:afterAutospacing="1" w:line="360" w:lineRule="auto"/>
        <w:jc w:val="left"/>
        <w:rPr>
          <w:rFonts w:ascii="宋体" w:cs="宋体"/>
          <w:kern w:val="0"/>
          <w:sz w:val="24"/>
        </w:rPr>
      </w:pPr>
      <w:r>
        <w:rPr>
          <w:rFonts w:ascii="宋体" w:cs="宋体"/>
          <w:kern w:val="0"/>
          <w:sz w:val="24"/>
        </w:rPr>
        <w:t> </w:t>
      </w:r>
    </w:p>
    <w:p w14:paraId="58DBC092">
      <w:pPr>
        <w:widowControl/>
        <w:spacing w:beforeAutospacing="1" w:afterAutospacing="1" w:line="360" w:lineRule="auto"/>
        <w:ind w:firstLine="708" w:firstLineChars="196"/>
        <w:jc w:val="left"/>
        <w:rPr>
          <w:rFonts w:hint="default" w:ascii="宋体" w:hAnsi="宋体" w:cs="宋体"/>
          <w:b/>
          <w:kern w:val="0"/>
          <w:sz w:val="36"/>
          <w:szCs w:val="36"/>
          <w:lang w:val="en-US" w:eastAsia="zh-CN"/>
        </w:rPr>
      </w:pPr>
      <w:r>
        <w:rPr>
          <w:rFonts w:hint="eastAsia" w:ascii="宋体" w:hAnsi="宋体" w:cs="宋体"/>
          <w:b/>
          <w:kern w:val="0"/>
          <w:sz w:val="36"/>
          <w:szCs w:val="36"/>
        </w:rPr>
        <w:t>项目名称：</w:t>
      </w:r>
      <w:r>
        <w:rPr>
          <w:rFonts w:hint="eastAsia" w:ascii="宋体" w:hAnsi="宋体" w:eastAsia="宋体" w:cs="宋体"/>
          <w:b/>
          <w:kern w:val="0"/>
          <w:sz w:val="36"/>
          <w:szCs w:val="36"/>
          <w:lang w:val="en-US" w:eastAsia="zh-CN"/>
        </w:rPr>
        <w:t>医院精细化运营管理系统项目咨</w:t>
      </w:r>
      <w:r>
        <w:rPr>
          <w:rFonts w:hint="eastAsia" w:ascii="宋体" w:hAnsi="宋体" w:cs="宋体"/>
          <w:b/>
          <w:kern w:val="0"/>
          <w:sz w:val="36"/>
          <w:szCs w:val="36"/>
          <w:lang w:val="en-US" w:eastAsia="zh-CN"/>
        </w:rPr>
        <w:t>询</w:t>
      </w:r>
    </w:p>
    <w:p w14:paraId="0045A66A">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14:paraId="0B271F9A">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14:paraId="78A74346">
      <w:pPr>
        <w:pStyle w:val="3"/>
        <w:ind w:left="0" w:leftChars="0" w:firstLine="0" w:firstLineChars="0"/>
        <w:jc w:val="center"/>
        <w:rPr>
          <w:rFonts w:hint="eastAsia" w:ascii="Arial" w:hAnsi="Arial"/>
          <w:kern w:val="0"/>
        </w:rPr>
      </w:pPr>
      <w:bookmarkStart w:id="1" w:name="_Toc485736230"/>
      <w:r>
        <w:rPr>
          <w:rFonts w:hint="eastAsia"/>
          <w:kern w:val="0"/>
        </w:rPr>
        <w:t>一、</w:t>
      </w:r>
      <w:r>
        <w:rPr>
          <w:rFonts w:hint="eastAsia" w:ascii="Arial" w:hAnsi="Arial" w:cs="Times New Roman"/>
          <w:kern w:val="0"/>
          <w:lang w:val="en-US" w:eastAsia="zh-CN"/>
        </w:rPr>
        <w:t>医院精细化运营管理系统项目</w:t>
      </w:r>
      <w:r>
        <w:rPr>
          <w:rFonts w:hint="eastAsia" w:ascii="Arial" w:hAnsi="Arial" w:cs="Times New Roman"/>
          <w:kern w:val="0"/>
        </w:rPr>
        <w:t>咨询</w:t>
      </w:r>
      <w:r>
        <w:rPr>
          <w:rFonts w:hint="eastAsia" w:ascii="Arial" w:hAnsi="Arial"/>
          <w:kern w:val="0"/>
        </w:rPr>
        <w:t>响应函</w:t>
      </w:r>
      <w:bookmarkEnd w:id="1"/>
    </w:p>
    <w:p w14:paraId="58AA6EEB">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14:paraId="6CC71DAF">
      <w:pPr>
        <w:spacing w:line="360" w:lineRule="auto"/>
        <w:ind w:left="307"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w:t>
      </w:r>
    </w:p>
    <w:p w14:paraId="7CAC0A50">
      <w:pPr>
        <w:spacing w:line="360" w:lineRule="auto"/>
        <w:ind w:left="307"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14:paraId="0E4C0361">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14:paraId="6EA7E3A9">
      <w:pPr>
        <w:spacing w:line="360" w:lineRule="auto"/>
        <w:ind w:left="461"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14:paraId="0366C83C">
      <w:pPr>
        <w:spacing w:line="360" w:lineRule="auto"/>
        <w:ind w:left="461"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14:paraId="45996185">
      <w:pPr>
        <w:spacing w:line="360" w:lineRule="auto"/>
        <w:ind w:left="461"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14:paraId="2ACDC50B">
      <w:pPr>
        <w:spacing w:line="360" w:lineRule="auto"/>
        <w:ind w:left="461"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14:paraId="2F5BC38F">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14:paraId="7D578B71">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14:paraId="07F97095">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14:paraId="371795C0">
      <w:pPr>
        <w:spacing w:line="360" w:lineRule="auto"/>
        <w:ind w:firstLine="2295" w:firstLineChars="850"/>
        <w:rPr>
          <w:rFonts w:ascii="宋体" w:hAnsi="宋体" w:cs="宋体"/>
          <w:kern w:val="0"/>
          <w:sz w:val="27"/>
          <w:szCs w:val="27"/>
        </w:rPr>
      </w:pPr>
    </w:p>
    <w:p w14:paraId="7FA8FCA0">
      <w:pPr>
        <w:spacing w:line="360" w:lineRule="auto"/>
        <w:ind w:firstLine="3375" w:firstLineChars="1250"/>
        <w:rPr>
          <w:rFonts w:ascii="宋体" w:hAnsi="宋体" w:cs="宋体"/>
          <w:kern w:val="0"/>
          <w:sz w:val="27"/>
          <w:szCs w:val="27"/>
        </w:rPr>
      </w:pPr>
    </w:p>
    <w:p w14:paraId="3B8F9585">
      <w:pPr>
        <w:spacing w:line="360" w:lineRule="auto"/>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14:paraId="232601ED">
      <w:pPr>
        <w:spacing w:line="360" w:lineRule="auto"/>
        <w:ind w:firstLine="4725" w:firstLineChars="1750"/>
        <w:rPr>
          <w:rFonts w:ascii="宋体" w:hAnsi="宋体" w:cs="宋体"/>
          <w:color w:val="000000"/>
          <w:kern w:val="0"/>
          <w:sz w:val="27"/>
          <w:szCs w:val="27"/>
        </w:rPr>
      </w:pPr>
    </w:p>
    <w:p w14:paraId="26C61B61">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3C277C9C">
      <w:pPr>
        <w:spacing w:line="360" w:lineRule="auto"/>
        <w:ind w:firstLine="4725" w:firstLineChars="1750"/>
        <w:rPr>
          <w:rFonts w:ascii="宋体" w:hAnsi="宋体" w:cs="宋体"/>
          <w:color w:val="000000"/>
          <w:kern w:val="0"/>
          <w:sz w:val="27"/>
          <w:szCs w:val="27"/>
        </w:rPr>
      </w:pPr>
    </w:p>
    <w:p w14:paraId="47A9743D">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14:paraId="65FC8021">
      <w:pPr>
        <w:spacing w:line="360" w:lineRule="auto"/>
        <w:ind w:firstLine="135" w:firstLineChars="50"/>
        <w:rPr>
          <w:rFonts w:ascii="宋体" w:hAnsi="宋体" w:cs="宋体"/>
          <w:color w:val="000000"/>
          <w:kern w:val="0"/>
          <w:sz w:val="27"/>
          <w:szCs w:val="27"/>
        </w:rPr>
      </w:pPr>
    </w:p>
    <w:p w14:paraId="3A3F662E">
      <w:pPr>
        <w:rPr>
          <w:rFonts w:hint="eastAsia"/>
          <w:color w:val="auto"/>
        </w:rPr>
      </w:pPr>
    </w:p>
    <w:p w14:paraId="7057C322">
      <w:pPr>
        <w:pStyle w:val="2"/>
        <w:rPr>
          <w:rFonts w:hint="eastAsia"/>
        </w:rPr>
      </w:pPr>
    </w:p>
    <w:p w14:paraId="294C3419">
      <w:pPr>
        <w:pStyle w:val="2"/>
        <w:rPr>
          <w:rFonts w:hint="eastAsia"/>
        </w:rPr>
      </w:pPr>
    </w:p>
    <w:p w14:paraId="5C99D2CF">
      <w:pPr>
        <w:pStyle w:val="2"/>
        <w:ind w:left="0" w:leftChars="0" w:firstLine="0" w:firstLineChars="0"/>
        <w:rPr>
          <w:rFonts w:hint="eastAsia"/>
          <w:color w:val="auto"/>
        </w:rPr>
      </w:pPr>
    </w:p>
    <w:p w14:paraId="5DF6DA9B">
      <w:pPr>
        <w:pStyle w:val="3"/>
        <w:ind w:left="0" w:leftChars="0" w:firstLine="0" w:firstLineChars="0"/>
        <w:jc w:val="center"/>
        <w:rPr>
          <w:rFonts w:hint="eastAsia"/>
          <w:kern w:val="0"/>
        </w:rPr>
      </w:pPr>
      <w:bookmarkStart w:id="2" w:name="_Toc480191544"/>
      <w:bookmarkStart w:id="3" w:name="_Toc485736233"/>
      <w:r>
        <w:rPr>
          <w:rFonts w:hint="eastAsia"/>
          <w:kern w:val="0"/>
          <w:lang w:val="en-US" w:eastAsia="zh-CN"/>
        </w:rPr>
        <w:t>二、</w:t>
      </w:r>
      <w:bookmarkEnd w:id="2"/>
      <w:bookmarkEnd w:id="3"/>
      <w:r>
        <w:rPr>
          <w:rFonts w:hint="eastAsia"/>
          <w:kern w:val="0"/>
          <w:lang w:val="en-US" w:eastAsia="zh-CN"/>
        </w:rPr>
        <w:t>医院精细化运营管理系统项目要求</w:t>
      </w:r>
    </w:p>
    <w:p w14:paraId="36FFF1CC">
      <w:pPr>
        <w:pStyle w:val="13"/>
        <w:bidi w:val="0"/>
        <w:rPr>
          <w:rFonts w:hint="eastAsia" w:ascii="宋体" w:hAnsi="宋体" w:eastAsia="宋体" w:cs="宋体"/>
          <w:color w:val="auto"/>
          <w:sz w:val="24"/>
          <w:szCs w:val="24"/>
        </w:rPr>
      </w:pPr>
      <w:r>
        <w:rPr>
          <w:rFonts w:hint="eastAsia" w:ascii="宋体" w:hAnsi="宋体" w:eastAsia="宋体" w:cs="宋体"/>
          <w:color w:val="auto"/>
          <w:sz w:val="24"/>
          <w:szCs w:val="24"/>
        </w:rPr>
        <w:t>基本情况</w:t>
      </w:r>
    </w:p>
    <w:p w14:paraId="13EBE6BE">
      <w:pPr>
        <w:pageBreakBefore w:val="0"/>
        <w:numPr>
          <w:ilvl w:val="0"/>
          <w:numId w:val="2"/>
        </w:numPr>
        <w:wordWrap/>
        <w:overflowPunct/>
        <w:topLinePunct w:val="0"/>
        <w:autoSpaceDE/>
        <w:autoSpaceDN/>
        <w:bidi w:val="0"/>
        <w:spacing w:afterAutospacing="0" w:line="480" w:lineRule="exact"/>
        <w:ind w:left="0" w:leftChars="0"/>
        <w:jc w:val="both"/>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赣州市妇幼保健</w:t>
      </w:r>
      <w:r>
        <w:rPr>
          <w:rFonts w:hint="eastAsia" w:ascii="宋体" w:hAnsi="宋体" w:eastAsia="宋体" w:cs="宋体"/>
          <w:color w:val="auto"/>
          <w:sz w:val="24"/>
          <w:szCs w:val="24"/>
        </w:rPr>
        <w:t>院医院精细化运营管理系统项目。</w:t>
      </w:r>
    </w:p>
    <w:p w14:paraId="3121E0D5">
      <w:pPr>
        <w:pageBreakBefore w:val="0"/>
        <w:numPr>
          <w:ilvl w:val="0"/>
          <w:numId w:val="2"/>
        </w:numPr>
        <w:shd w:val="clear"/>
        <w:wordWrap/>
        <w:overflowPunct/>
        <w:topLinePunct w:val="0"/>
        <w:autoSpaceDE/>
        <w:autoSpaceDN/>
        <w:bidi w:val="0"/>
        <w:spacing w:afterAutospacing="0" w:line="480" w:lineRule="exact"/>
        <w:ind w:left="0" w:leftChars="0"/>
        <w:jc w:val="both"/>
        <w:rPr>
          <w:rFonts w:hint="eastAsia" w:ascii="宋体" w:hAnsi="宋体" w:eastAsia="宋体" w:cs="宋体"/>
          <w:color w:val="auto"/>
          <w:sz w:val="24"/>
          <w:szCs w:val="24"/>
        </w:rPr>
      </w:pPr>
      <w:r>
        <w:rPr>
          <w:rFonts w:hint="eastAsia" w:ascii="宋体" w:hAnsi="宋体" w:eastAsia="宋体" w:cs="宋体"/>
          <w:color w:val="auto"/>
          <w:sz w:val="24"/>
          <w:szCs w:val="24"/>
        </w:rPr>
        <w:t>项目内容：为配合我市医保付费改革工作部署，满足市医保局对医疗机构上传医保结算数据的要求，以及有效应对医保</w:t>
      </w:r>
      <w:r>
        <w:rPr>
          <w:rFonts w:hint="eastAsia" w:ascii="宋体" w:hAnsi="宋体" w:eastAsia="宋体" w:cs="宋体"/>
          <w:color w:val="auto"/>
          <w:sz w:val="24"/>
          <w:szCs w:val="24"/>
          <w:lang w:val="en-US" w:eastAsia="zh-CN"/>
        </w:rPr>
        <w:t>基金监管</w:t>
      </w:r>
      <w:r>
        <w:rPr>
          <w:rFonts w:hint="eastAsia" w:ascii="宋体" w:hAnsi="宋体" w:eastAsia="宋体" w:cs="宋体"/>
          <w:color w:val="auto"/>
          <w:sz w:val="24"/>
          <w:szCs w:val="24"/>
        </w:rPr>
        <w:t>工作，我院拟采购医院精细化运营管理系统1套（包含病案编码管理系统、决策分析</w:t>
      </w:r>
      <w:r>
        <w:rPr>
          <w:rFonts w:hint="eastAsia" w:ascii="宋体" w:hAnsi="宋体" w:eastAsia="宋体" w:cs="宋体"/>
          <w:color w:val="auto"/>
          <w:sz w:val="24"/>
          <w:szCs w:val="24"/>
          <w:lang w:val="en-US"/>
        </w:rPr>
        <w:t>管理</w:t>
      </w:r>
      <w:r>
        <w:rPr>
          <w:rFonts w:hint="eastAsia" w:ascii="宋体" w:hAnsi="宋体" w:eastAsia="宋体" w:cs="宋体"/>
          <w:color w:val="auto"/>
          <w:sz w:val="24"/>
          <w:szCs w:val="24"/>
        </w:rPr>
        <w:t>系统），运用智能化辅助手段辅助病案编码员完成病案编码和医保结算清单填报管理工作，</w:t>
      </w:r>
      <w:r>
        <w:rPr>
          <w:rFonts w:hint="eastAsia" w:ascii="宋体" w:hAnsi="宋体" w:eastAsia="宋体" w:cs="宋体"/>
          <w:color w:val="auto"/>
          <w:sz w:val="24"/>
          <w:szCs w:val="24"/>
          <w:lang w:val="en-US"/>
        </w:rPr>
        <w:t>协助我院在按病种付费下</w:t>
      </w:r>
      <w:r>
        <w:rPr>
          <w:rFonts w:hint="eastAsia" w:ascii="宋体" w:hAnsi="宋体" w:eastAsia="宋体" w:cs="宋体"/>
          <w:color w:val="auto"/>
          <w:sz w:val="24"/>
          <w:szCs w:val="24"/>
        </w:rPr>
        <w:t>院内病案</w:t>
      </w:r>
      <w:r>
        <w:rPr>
          <w:rFonts w:hint="eastAsia" w:ascii="宋体" w:hAnsi="宋体" w:eastAsia="宋体" w:cs="宋体"/>
          <w:color w:val="auto"/>
          <w:sz w:val="24"/>
          <w:szCs w:val="24"/>
          <w:lang w:val="en-US"/>
        </w:rPr>
        <w:t>质控、医保</w:t>
      </w:r>
      <w:r>
        <w:rPr>
          <w:rFonts w:hint="eastAsia" w:ascii="宋体" w:hAnsi="宋体" w:eastAsia="宋体" w:cs="宋体"/>
          <w:color w:val="auto"/>
          <w:sz w:val="24"/>
          <w:szCs w:val="24"/>
        </w:rPr>
        <w:t>管理</w:t>
      </w:r>
      <w:r>
        <w:rPr>
          <w:rFonts w:hint="eastAsia" w:ascii="宋体" w:hAnsi="宋体" w:eastAsia="宋体" w:cs="宋体"/>
          <w:color w:val="auto"/>
          <w:sz w:val="24"/>
          <w:szCs w:val="24"/>
          <w:lang w:val="en-US"/>
        </w:rPr>
        <w:t>和绩效评价</w:t>
      </w:r>
      <w:r>
        <w:rPr>
          <w:rFonts w:hint="eastAsia" w:ascii="宋体" w:hAnsi="宋体" w:eastAsia="宋体" w:cs="宋体"/>
          <w:color w:val="auto"/>
          <w:sz w:val="24"/>
          <w:szCs w:val="24"/>
        </w:rPr>
        <w:t>工作</w:t>
      </w:r>
      <w:r>
        <w:rPr>
          <w:rFonts w:hint="eastAsia" w:ascii="宋体" w:hAnsi="宋体" w:eastAsia="宋体" w:cs="宋体"/>
          <w:color w:val="auto"/>
          <w:sz w:val="24"/>
          <w:szCs w:val="24"/>
          <w:lang w:val="en-US"/>
        </w:rPr>
        <w:t>的开展</w:t>
      </w:r>
      <w:r>
        <w:rPr>
          <w:rFonts w:hint="eastAsia" w:ascii="宋体" w:hAnsi="宋体" w:eastAsia="宋体" w:cs="宋体"/>
          <w:color w:val="auto"/>
          <w:sz w:val="24"/>
          <w:szCs w:val="24"/>
          <w:lang w:val="en-US" w:eastAsia="zh-CN"/>
        </w:rPr>
        <w:t>。</w:t>
      </w:r>
    </w:p>
    <w:p w14:paraId="44B511D0">
      <w:pPr>
        <w:pageBreakBefore w:val="0"/>
        <w:numPr>
          <w:ilvl w:val="0"/>
          <w:numId w:val="2"/>
        </w:numPr>
        <w:wordWrap/>
        <w:overflowPunct/>
        <w:topLinePunct w:val="0"/>
        <w:autoSpaceDE/>
        <w:autoSpaceDN/>
        <w:bidi w:val="0"/>
        <w:spacing w:afterAutospacing="0" w:line="480" w:lineRule="exact"/>
        <w:ind w:left="0" w:leftChars="0"/>
        <w:jc w:val="both"/>
        <w:rPr>
          <w:rFonts w:hint="eastAsia" w:ascii="宋体" w:hAnsi="宋体" w:eastAsia="宋体" w:cs="宋体"/>
          <w:b/>
          <w:bCs/>
          <w:color w:val="auto"/>
          <w:sz w:val="24"/>
          <w:szCs w:val="24"/>
        </w:rPr>
      </w:pPr>
      <w:bookmarkStart w:id="4" w:name="_GoBack"/>
      <w:bookmarkEnd w:id="4"/>
      <w:r>
        <w:rPr>
          <w:rFonts w:hint="eastAsia" w:ascii="宋体" w:hAnsi="宋体" w:eastAsia="宋体" w:cs="宋体"/>
          <w:color w:val="auto"/>
          <w:sz w:val="24"/>
          <w:szCs w:val="24"/>
        </w:rPr>
        <w:t>工期：</w:t>
      </w:r>
      <w:r>
        <w:rPr>
          <w:rFonts w:hint="eastAsia" w:ascii="宋体" w:hAnsi="宋体" w:eastAsia="宋体" w:cs="宋体"/>
          <w:color w:val="auto"/>
          <w:sz w:val="24"/>
          <w:szCs w:val="24"/>
          <w:lang w:val="en-US" w:eastAsia="zh-CN"/>
        </w:rPr>
        <w:t>合同签订后</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个月</w:t>
      </w:r>
      <w:r>
        <w:rPr>
          <w:rFonts w:hint="eastAsia" w:ascii="宋体" w:hAnsi="宋体" w:eastAsia="宋体" w:cs="宋体"/>
          <w:color w:val="auto"/>
          <w:sz w:val="24"/>
          <w:szCs w:val="24"/>
        </w:rPr>
        <w:t>内完成所有系统的</w:t>
      </w:r>
      <w:r>
        <w:rPr>
          <w:rFonts w:hint="eastAsia" w:ascii="宋体" w:hAnsi="宋体" w:eastAsia="宋体" w:cs="宋体"/>
          <w:color w:val="auto"/>
          <w:sz w:val="24"/>
          <w:szCs w:val="24"/>
          <w:lang w:val="en-US"/>
        </w:rPr>
        <w:t>开发</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安装调试、培训及上线。</w:t>
      </w:r>
    </w:p>
    <w:p w14:paraId="7179341F">
      <w:pPr>
        <w:pStyle w:val="13"/>
        <w:bidi w:val="0"/>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p w14:paraId="7381A43B">
      <w:pPr>
        <w:pStyle w:val="14"/>
        <w:bidi w:val="0"/>
        <w:rPr>
          <w:rFonts w:hint="eastAsia" w:ascii="宋体" w:hAnsi="宋体" w:eastAsia="宋体" w:cs="宋体"/>
          <w:color w:val="auto"/>
          <w:sz w:val="24"/>
          <w:szCs w:val="24"/>
        </w:rPr>
      </w:pPr>
      <w:r>
        <w:rPr>
          <w:rFonts w:hint="eastAsia" w:ascii="宋体" w:hAnsi="宋体" w:eastAsia="宋体" w:cs="宋体"/>
          <w:color w:val="auto"/>
          <w:sz w:val="24"/>
          <w:szCs w:val="24"/>
        </w:rPr>
        <w:t>病案编码管理系统</w:t>
      </w:r>
    </w:p>
    <w:p w14:paraId="3E77A499">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rPr>
        <w:t>智能编码</w:t>
      </w:r>
    </w:p>
    <w:p w14:paraId="0C916EDB">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编码流程管理：</w:t>
      </w:r>
      <w:r>
        <w:rPr>
          <w:rFonts w:hint="eastAsia" w:ascii="宋体" w:hAnsi="宋体" w:eastAsia="宋体" w:cs="宋体"/>
          <w:color w:val="auto"/>
          <w:sz w:val="24"/>
          <w:szCs w:val="24"/>
        </w:rPr>
        <w:t>对编码流程进行管控，可将编码状态分为待编，已编，已审，上传完成，并提供多维度筛选病案信息列表。</w:t>
      </w:r>
    </w:p>
    <w:p w14:paraId="0C162D3E">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编码工作区：</w:t>
      </w:r>
      <w:r>
        <w:rPr>
          <w:rFonts w:hint="eastAsia" w:ascii="宋体" w:hAnsi="宋体" w:eastAsia="宋体" w:cs="宋体"/>
          <w:color w:val="auto"/>
          <w:sz w:val="24"/>
          <w:szCs w:val="24"/>
        </w:rPr>
        <w:t>编码区域可按病案首页样式或者结算清单样式界面模式进行编码。基础功能包括保存、上传、修改日志、知识库调用。</w:t>
      </w:r>
    </w:p>
    <w:p w14:paraId="6EF7B514">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辅助工作区：</w:t>
      </w:r>
      <w:r>
        <w:rPr>
          <w:rFonts w:hint="eastAsia" w:ascii="宋体" w:hAnsi="宋体" w:eastAsia="宋体" w:cs="宋体"/>
          <w:color w:val="auto"/>
          <w:sz w:val="24"/>
          <w:szCs w:val="24"/>
        </w:rPr>
        <w:t>包括但不限于病案首页、病程记录、出院小结、手术记录、长临医嘱、检查/检验报告、病理报告、费用明</w:t>
      </w:r>
      <w:r>
        <w:rPr>
          <w:rFonts w:hint="eastAsia" w:ascii="宋体" w:hAnsi="宋体" w:eastAsia="宋体" w:cs="宋体"/>
          <w:color w:val="auto"/>
          <w:sz w:val="24"/>
          <w:szCs w:val="24"/>
          <w:highlight w:val="none"/>
        </w:rPr>
        <w:t>细等</w:t>
      </w:r>
      <w:r>
        <w:rPr>
          <w:rFonts w:hint="eastAsia" w:ascii="宋体" w:hAnsi="宋体" w:eastAsia="宋体" w:cs="宋体"/>
          <w:color w:val="auto"/>
          <w:sz w:val="24"/>
          <w:szCs w:val="24"/>
          <w:highlight w:val="none"/>
          <w:lang w:eastAsia="zh-CN"/>
        </w:rPr>
        <w:t>。</w:t>
      </w:r>
    </w:p>
    <w:p w14:paraId="4668BE7D">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异常值标识：</w:t>
      </w:r>
      <w:r>
        <w:rPr>
          <w:rFonts w:hint="eastAsia" w:ascii="宋体" w:hAnsi="宋体" w:eastAsia="宋体" w:cs="宋体"/>
          <w:color w:val="auto"/>
          <w:sz w:val="24"/>
          <w:szCs w:val="24"/>
        </w:rPr>
        <w:t>检验报告异常值需要具备标记颜色功能，费用明细可以按照药品、卫材、医技、护理、管理、医疗等进行分类，可以实现双击药品直接调取药品知</w:t>
      </w:r>
      <w:r>
        <w:rPr>
          <w:rFonts w:hint="eastAsia" w:ascii="宋体" w:hAnsi="宋体" w:eastAsia="宋体" w:cs="宋体"/>
          <w:color w:val="auto"/>
          <w:sz w:val="24"/>
          <w:szCs w:val="24"/>
          <w:highlight w:val="none"/>
        </w:rPr>
        <w:t>识库</w:t>
      </w:r>
      <w:r>
        <w:rPr>
          <w:rFonts w:hint="eastAsia" w:ascii="宋体" w:hAnsi="宋体" w:eastAsia="宋体" w:cs="宋体"/>
          <w:color w:val="auto"/>
          <w:sz w:val="24"/>
          <w:szCs w:val="24"/>
          <w:highlight w:val="none"/>
          <w:lang w:eastAsia="zh-CN"/>
        </w:rPr>
        <w:t>。</w:t>
      </w:r>
    </w:p>
    <w:p w14:paraId="0ECE90E2">
      <w:pPr>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rPr>
        <w:t>订正功能：</w:t>
      </w:r>
      <w:r>
        <w:rPr>
          <w:rFonts w:hint="eastAsia" w:ascii="宋体" w:hAnsi="宋体" w:eastAsia="宋体" w:cs="宋体"/>
          <w:color w:val="auto"/>
          <w:sz w:val="24"/>
          <w:szCs w:val="24"/>
        </w:rPr>
        <w:t>编码过程中可通过此功能直接订正编码界面的基础信息，保证基本信息可以快速准确的修正。</w:t>
      </w:r>
    </w:p>
    <w:p w14:paraId="5CD41844">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典型病例管理：</w:t>
      </w:r>
      <w:r>
        <w:rPr>
          <w:rFonts w:hint="eastAsia" w:ascii="宋体" w:hAnsi="宋体" w:eastAsia="宋体" w:cs="宋体"/>
          <w:color w:val="auto"/>
          <w:sz w:val="24"/>
          <w:szCs w:val="24"/>
        </w:rPr>
        <w:t>编码员在编码过程中，如发现临床医师在填写病案首页及书写病历文件过程中出现典型错误、疑难问题，或其检查、治疗及护理流程中出现典型问题，可在该系统中对其进行收集。</w:t>
      </w:r>
    </w:p>
    <w:p w14:paraId="1C0259E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校验提示：</w:t>
      </w:r>
      <w:r>
        <w:rPr>
          <w:rFonts w:hint="eastAsia" w:ascii="宋体" w:hAnsi="宋体" w:eastAsia="宋体" w:cs="宋体"/>
          <w:color w:val="auto"/>
          <w:sz w:val="24"/>
          <w:szCs w:val="24"/>
        </w:rPr>
        <w:t>支持按医保局以及医院的具体要求设置病案首页质量标准，对病案首页整体进行校验点评；支持对病历中具体的错误点提示，提示错误点、错误原因、调整方向。</w:t>
      </w:r>
    </w:p>
    <w:p w14:paraId="7CF3A377">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中西医诊断编码便捷切换：</w:t>
      </w:r>
      <w:r>
        <w:rPr>
          <w:rFonts w:hint="eastAsia" w:ascii="宋体" w:hAnsi="宋体" w:eastAsia="宋体" w:cs="宋体"/>
          <w:color w:val="auto"/>
          <w:sz w:val="24"/>
          <w:szCs w:val="24"/>
        </w:rPr>
        <w:t>诊断可拆分成中医、西医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方便编码人员工作。</w:t>
      </w:r>
    </w:p>
    <w:p w14:paraId="204AD50E">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历史编码数据回顾：</w:t>
      </w:r>
      <w:r>
        <w:rPr>
          <w:rFonts w:hint="eastAsia" w:ascii="宋体" w:hAnsi="宋体" w:eastAsia="宋体" w:cs="宋体"/>
          <w:color w:val="auto"/>
          <w:sz w:val="24"/>
          <w:szCs w:val="24"/>
        </w:rPr>
        <w:t>支持对往期编码过的病历进行留存，便于进行历史编码数据回顾。</w:t>
      </w:r>
    </w:p>
    <w:p w14:paraId="19557A13">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rPr>
        <w:t>编码基本信息校验</w:t>
      </w:r>
    </w:p>
    <w:p w14:paraId="572B7964">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基本信息缺失性校验：</w:t>
      </w:r>
      <w:r>
        <w:rPr>
          <w:rFonts w:hint="eastAsia" w:ascii="宋体" w:hAnsi="宋体" w:eastAsia="宋体" w:cs="宋体"/>
          <w:color w:val="auto"/>
          <w:sz w:val="24"/>
          <w:szCs w:val="24"/>
        </w:rPr>
        <w:t>基本信息核对，以确保所需的关键信息没有遗漏或缺失，包括患者的姓名、年龄、性别、身份证号、联系方式、入院日期、科室等。</w:t>
      </w:r>
    </w:p>
    <w:p w14:paraId="0B689A3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基本信息标准性校验：</w:t>
      </w:r>
      <w:r>
        <w:rPr>
          <w:rFonts w:hint="eastAsia" w:ascii="宋体" w:hAnsi="宋体" w:eastAsia="宋体" w:cs="宋体"/>
          <w:color w:val="auto"/>
          <w:sz w:val="24"/>
          <w:szCs w:val="24"/>
        </w:rPr>
        <w:t>校验基本信息是否符合特定的标准或规范，涵盖患者基本信息的各个方面，如姓名、性别、年龄、身份证号、联系方式等以及信息的格式、长度、数</w:t>
      </w:r>
      <w:r>
        <w:rPr>
          <w:rFonts w:hint="eastAsia" w:ascii="宋体" w:hAnsi="宋体" w:eastAsia="宋体" w:cs="宋体"/>
          <w:color w:val="auto"/>
          <w:sz w:val="24"/>
          <w:szCs w:val="24"/>
          <w:highlight w:val="none"/>
        </w:rPr>
        <w:t>据类型等</w:t>
      </w:r>
      <w:r>
        <w:rPr>
          <w:rFonts w:hint="eastAsia" w:ascii="宋体" w:hAnsi="宋体" w:eastAsia="宋体" w:cs="宋体"/>
          <w:color w:val="auto"/>
          <w:sz w:val="24"/>
          <w:szCs w:val="24"/>
          <w:highlight w:val="none"/>
          <w:lang w:eastAsia="zh-CN"/>
        </w:rPr>
        <w:t>。</w:t>
      </w:r>
    </w:p>
    <w:p w14:paraId="30A332DF">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基本信息逻辑性校验：</w:t>
      </w:r>
      <w:r>
        <w:rPr>
          <w:rFonts w:hint="eastAsia" w:ascii="宋体" w:hAnsi="宋体" w:eastAsia="宋体" w:cs="宋体"/>
          <w:color w:val="auto"/>
          <w:sz w:val="24"/>
          <w:szCs w:val="24"/>
        </w:rPr>
        <w:t>校验患者的基本信息进行逻辑分析，以确保信息之间的合理性和一致性，涵盖患者基本信息的各个方面，并考虑各种可能的逻辑错误或矛盾。</w:t>
      </w:r>
    </w:p>
    <w:p w14:paraId="387A2162">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入出院时间、科室、途径校验：</w:t>
      </w:r>
      <w:r>
        <w:rPr>
          <w:rFonts w:hint="eastAsia" w:ascii="宋体" w:hAnsi="宋体" w:eastAsia="宋体" w:cs="宋体"/>
          <w:color w:val="auto"/>
          <w:sz w:val="24"/>
          <w:szCs w:val="24"/>
        </w:rPr>
        <w:t>确保患者在医疗机构内的流动和记录准确无误，根据患者实际情况对入出院时间、科室、途径等做出校验。</w:t>
      </w:r>
    </w:p>
    <w:p w14:paraId="64A531AD">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rPr>
        <w:t>编码诊断信息校验</w:t>
      </w:r>
    </w:p>
    <w:p w14:paraId="12F7BBE4">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诊断与基本信息关联性校验：</w:t>
      </w:r>
      <w:r>
        <w:rPr>
          <w:rFonts w:hint="eastAsia" w:ascii="宋体" w:hAnsi="宋体" w:eastAsia="宋体" w:cs="宋体"/>
          <w:color w:val="auto"/>
          <w:sz w:val="24"/>
          <w:szCs w:val="24"/>
        </w:rPr>
        <w:t>控制编码诊断信息质量，确保医疗诊断与患者基本信息之间逻辑一致性和准确性，验证诊断是否基于患者的正确信息，并且诊断结果与患者的病史、症状和体征相符合。确保患者的姓名、年龄、性别、病历号等基本信息准确无误。验证这些信息是否与医疗记录、诊断报告和其他相关信息一致。</w:t>
      </w:r>
    </w:p>
    <w:p w14:paraId="3AD34FAD">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O码、Z码、R码校验：</w:t>
      </w:r>
      <w:r>
        <w:rPr>
          <w:rFonts w:hint="eastAsia" w:ascii="宋体" w:hAnsi="宋体" w:eastAsia="宋体" w:cs="宋体"/>
          <w:color w:val="auto"/>
          <w:sz w:val="24"/>
          <w:szCs w:val="24"/>
        </w:rPr>
        <w:t>控制编码诊断信息质量，标识特定的疾病、损伤和其他健康情况。核对O码与描述的一致性：确保O码与伤害或中毒的描述相匹配，没有编码错误，核对Z码与描述的一致性：确保Z码与记录的特殊情况或因素描述相匹配，核对R码与描述的一致性：确保R码与当前情况的描述相匹配。</w:t>
      </w:r>
    </w:p>
    <w:p w14:paraId="7618EA90">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主要诊断与主要手术匹配校验：</w:t>
      </w:r>
      <w:r>
        <w:rPr>
          <w:rFonts w:hint="eastAsia" w:ascii="宋体" w:hAnsi="宋体" w:eastAsia="宋体" w:cs="宋体"/>
          <w:color w:val="auto"/>
          <w:sz w:val="24"/>
          <w:szCs w:val="24"/>
        </w:rPr>
        <w:t>控制编码质量，有助于保证医疗数据的一致性和准确性，参考相关的医学逻辑和临床指南，评估诊断与手术之间的逻辑一致性。某些手术可能只适用于特定的诊断，需要根据医学知识进行</w:t>
      </w:r>
      <w:r>
        <w:rPr>
          <w:rFonts w:hint="eastAsia" w:ascii="宋体" w:hAnsi="宋体" w:eastAsia="宋体" w:cs="宋体"/>
          <w:color w:val="auto"/>
          <w:sz w:val="24"/>
          <w:szCs w:val="24"/>
          <w:highlight w:val="none"/>
        </w:rPr>
        <w:t>判断</w:t>
      </w:r>
      <w:r>
        <w:rPr>
          <w:rFonts w:hint="eastAsia" w:ascii="宋体" w:hAnsi="宋体" w:eastAsia="宋体" w:cs="宋体"/>
          <w:color w:val="auto"/>
          <w:sz w:val="24"/>
          <w:szCs w:val="24"/>
          <w:highlight w:val="none"/>
          <w:lang w:eastAsia="zh-CN"/>
        </w:rPr>
        <w:t>。</w:t>
      </w:r>
    </w:p>
    <w:p w14:paraId="25E4D4E8">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诊断与损伤中毒原因校验：</w:t>
      </w:r>
      <w:r>
        <w:rPr>
          <w:rFonts w:hint="eastAsia" w:ascii="宋体" w:hAnsi="宋体" w:eastAsia="宋体" w:cs="宋体"/>
          <w:color w:val="auto"/>
          <w:sz w:val="24"/>
          <w:szCs w:val="24"/>
        </w:rPr>
        <w:t>校验诊断与导致患者损伤或中毒的具体原因之间的逻辑一致性和准确性，结合医学逻辑和临床经验，评估诊断与损伤或中毒原因之间的合理性。某些特定的诊断可能与特定的中毒原因相关联，需要根据医学知识进行判断。</w:t>
      </w:r>
    </w:p>
    <w:p w14:paraId="01A487D4">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诊断与病理形态学校验：</w:t>
      </w:r>
      <w:r>
        <w:rPr>
          <w:rFonts w:hint="eastAsia" w:ascii="宋体" w:hAnsi="宋体" w:eastAsia="宋体" w:cs="宋体"/>
          <w:color w:val="auto"/>
          <w:sz w:val="24"/>
          <w:szCs w:val="24"/>
        </w:rPr>
        <w:t>将患者的临床诊断与通过病理检查观察到的病理形态学特征进行比对和验证，对患者的临床诊断与病理诊断进行仔细比对，确保两者在疾病类型、分期、分级等方面的一致性。结合病理形态学特征与临床诊断，分析是否存在符合逻辑的关系。</w:t>
      </w:r>
    </w:p>
    <w:p w14:paraId="7224AFA3">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诊断高编/低编、多编/漏编提醒：</w:t>
      </w:r>
      <w:r>
        <w:rPr>
          <w:rFonts w:hint="eastAsia" w:ascii="宋体" w:hAnsi="宋体" w:eastAsia="宋体" w:cs="宋体"/>
          <w:color w:val="auto"/>
          <w:sz w:val="24"/>
          <w:szCs w:val="24"/>
        </w:rPr>
        <w:t>校验诊断编码存在</w:t>
      </w:r>
      <w:r>
        <w:rPr>
          <w:rFonts w:hint="eastAsia" w:ascii="宋体" w:hAnsi="宋体" w:eastAsia="宋体" w:cs="宋体"/>
          <w:color w:val="auto"/>
          <w:sz w:val="24"/>
          <w:szCs w:val="24"/>
          <w:lang w:val="en-US" w:eastAsia="zh-CN"/>
        </w:rPr>
        <w:t>高编/低编、多编/漏编</w:t>
      </w:r>
      <w:r>
        <w:rPr>
          <w:rFonts w:hint="eastAsia" w:ascii="宋体" w:hAnsi="宋体" w:eastAsia="宋体" w:cs="宋体"/>
          <w:color w:val="auto"/>
          <w:sz w:val="24"/>
          <w:szCs w:val="24"/>
        </w:rPr>
        <w:t>的情况，及时提醒编码员和相关医疗人员注意并核实编码的准确性。这种提醒有助于避免编码错误、提高编码质量，确保医疗数据的准确性和可靠性。</w:t>
      </w:r>
    </w:p>
    <w:p w14:paraId="273C3E32">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诊断编码规则符合性校验：</w:t>
      </w:r>
      <w:r>
        <w:rPr>
          <w:rFonts w:hint="eastAsia" w:ascii="宋体" w:hAnsi="宋体" w:eastAsia="宋体" w:cs="宋体"/>
          <w:color w:val="auto"/>
          <w:sz w:val="24"/>
          <w:szCs w:val="24"/>
        </w:rPr>
        <w:t>校验编码是否符合既定的编码规则和标准，对无效诊断、残余类目、合并编码等进行校验提醒，提高医疗数据的质量和可靠性。</w:t>
      </w:r>
    </w:p>
    <w:p w14:paraId="6727BBFA">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联合诊断提醒：</w:t>
      </w:r>
      <w:r>
        <w:rPr>
          <w:rFonts w:hint="eastAsia" w:ascii="宋体" w:hAnsi="宋体" w:eastAsia="宋体" w:cs="宋体"/>
          <w:color w:val="auto"/>
          <w:sz w:val="24"/>
          <w:szCs w:val="24"/>
        </w:rPr>
        <w:t>校验是否存在联合诊断，当出现联合诊断时，进行提醒。</w:t>
      </w:r>
    </w:p>
    <w:p w14:paraId="2F399A4E">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rPr>
        <w:t>编码手术和操作校验</w:t>
      </w:r>
    </w:p>
    <w:p w14:paraId="46CC2CCE">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主手术与主诊断匹配性校验：</w:t>
      </w:r>
      <w:r>
        <w:rPr>
          <w:rFonts w:hint="eastAsia" w:ascii="宋体" w:hAnsi="宋体" w:eastAsia="宋体" w:cs="宋体"/>
          <w:color w:val="auto"/>
          <w:sz w:val="24"/>
          <w:szCs w:val="24"/>
        </w:rPr>
        <w:t>根据主手术与主诊断匹配性校验规则对该类型诊断进行校验，确保手术操作与患者的主要疾病或状况相符。</w:t>
      </w:r>
    </w:p>
    <w:p w14:paraId="3EF1F5E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手术信息完整性校验：</w:t>
      </w:r>
      <w:r>
        <w:rPr>
          <w:rFonts w:hint="eastAsia" w:ascii="宋体" w:hAnsi="宋体" w:eastAsia="宋体" w:cs="宋体"/>
          <w:color w:val="auto"/>
          <w:sz w:val="24"/>
          <w:szCs w:val="24"/>
        </w:rPr>
        <w:t>校验手术信息是否包含关键要素，如手术名称、时间、地点、手术医生、助手、麻醉方式、手术过程、术后诊断、病理结果等。</w:t>
      </w:r>
    </w:p>
    <w:p w14:paraId="45B3AB3E">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手术和操作高编/低编、多编/漏编提醒：</w:t>
      </w:r>
      <w:r>
        <w:rPr>
          <w:rFonts w:hint="eastAsia" w:ascii="宋体" w:hAnsi="宋体" w:eastAsia="宋体" w:cs="宋体"/>
          <w:color w:val="auto"/>
          <w:sz w:val="24"/>
          <w:szCs w:val="24"/>
        </w:rPr>
        <w:t>校验手术或操作编码存在</w:t>
      </w:r>
      <w:r>
        <w:rPr>
          <w:rFonts w:hint="eastAsia" w:ascii="宋体" w:hAnsi="宋体" w:eastAsia="宋体" w:cs="宋体"/>
          <w:color w:val="auto"/>
          <w:sz w:val="24"/>
          <w:szCs w:val="24"/>
          <w:lang w:val="en-US" w:eastAsia="zh-CN"/>
        </w:rPr>
        <w:t>高编/低编、多编/漏编</w:t>
      </w:r>
      <w:r>
        <w:rPr>
          <w:rFonts w:hint="eastAsia" w:ascii="宋体" w:hAnsi="宋体" w:eastAsia="宋体" w:cs="宋体"/>
          <w:color w:val="auto"/>
          <w:sz w:val="24"/>
          <w:szCs w:val="24"/>
        </w:rPr>
        <w:t>的情况，及时提醒编码员和相关医疗人员注意并核实编码的准确性。这种提醒有助于避免编码错误、提高编码质量，确保医疗数据的准确性和可靠性。</w:t>
      </w:r>
    </w:p>
    <w:p w14:paraId="4B0BD15C">
      <w:pPr>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highlight w:val="none"/>
          <w:lang w:val="en-US" w:eastAsia="zh-CN"/>
        </w:rPr>
        <w:t>手术和操作缺失提醒：</w:t>
      </w:r>
      <w:r>
        <w:rPr>
          <w:rFonts w:hint="eastAsia" w:ascii="宋体" w:hAnsi="宋体" w:eastAsia="宋体" w:cs="宋体"/>
          <w:color w:val="auto"/>
          <w:sz w:val="24"/>
          <w:szCs w:val="24"/>
        </w:rPr>
        <w:t>校验医疗记录中是否缺少必要的手术和操作信息，实现手术和操作缺失提醒。</w:t>
      </w:r>
    </w:p>
    <w:p w14:paraId="05FB8520">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手术和操作编码规则符合性校验：</w:t>
      </w:r>
      <w:r>
        <w:rPr>
          <w:rFonts w:hint="eastAsia" w:ascii="宋体" w:hAnsi="宋体" w:eastAsia="宋体" w:cs="宋体"/>
          <w:color w:val="auto"/>
          <w:sz w:val="24"/>
          <w:szCs w:val="24"/>
        </w:rPr>
        <w:t>校验手术和操作编码是否符合既定的编码规则和标准，提高医疗数据的质量和可靠性。</w:t>
      </w:r>
    </w:p>
    <w:p w14:paraId="17D07D08">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rPr>
        <w:t>肿瘤信息校验</w:t>
      </w:r>
    </w:p>
    <w:p w14:paraId="267DAAFF">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rPr>
        <w:t>针对多种肿瘤治疗方式（如放疗、化疗手术、内分泌治疗、靶向治疗、灌注治疗、免疫治疗等）的诊断记录及费用信息进行合规性校验，确保诊断记录准确无误，治疗费用合理匹配，符合相关规范及逻辑。</w:t>
      </w:r>
    </w:p>
    <w:p w14:paraId="5E6BF31F">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rPr>
        <w:t>诊断相关因素校验</w:t>
      </w:r>
    </w:p>
    <w:p w14:paraId="10A15DE1">
      <w:pPr>
        <w:rPr>
          <w:rFonts w:hint="eastAsia" w:ascii="宋体" w:hAnsi="宋体" w:eastAsia="宋体" w:cs="宋体"/>
          <w:color w:val="auto"/>
          <w:sz w:val="24"/>
          <w:szCs w:val="24"/>
        </w:rPr>
      </w:pPr>
      <w:r>
        <w:rPr>
          <w:rFonts w:hint="eastAsia" w:ascii="宋体" w:hAnsi="宋体" w:eastAsia="宋体" w:cs="宋体"/>
          <w:color w:val="auto"/>
          <w:sz w:val="24"/>
          <w:szCs w:val="24"/>
        </w:rPr>
        <w:t>呼吸机使用信息校验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根据呼吸机使用信息校验规则对该类型操作进行校验。</w:t>
      </w:r>
    </w:p>
    <w:p w14:paraId="20394A12">
      <w:pPr>
        <w:rPr>
          <w:rFonts w:hint="eastAsia" w:ascii="宋体" w:hAnsi="宋体" w:eastAsia="宋体" w:cs="宋体"/>
          <w:color w:val="auto"/>
          <w:sz w:val="24"/>
          <w:szCs w:val="24"/>
        </w:rPr>
      </w:pPr>
      <w:r>
        <w:rPr>
          <w:rFonts w:hint="eastAsia" w:ascii="宋体" w:hAnsi="宋体" w:eastAsia="宋体" w:cs="宋体"/>
          <w:color w:val="auto"/>
          <w:sz w:val="24"/>
          <w:szCs w:val="24"/>
        </w:rPr>
        <w:t>进出监护室信息校验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根据进出监护室信息校验规则对该类型诊断进行校验</w:t>
      </w:r>
      <w:r>
        <w:rPr>
          <w:rFonts w:hint="eastAsia" w:ascii="宋体" w:hAnsi="宋体" w:eastAsia="宋体" w:cs="宋体"/>
          <w:color w:val="auto"/>
          <w:sz w:val="24"/>
          <w:szCs w:val="24"/>
          <w:lang w:eastAsia="zh-CN"/>
        </w:rPr>
        <w:t>。</w:t>
      </w:r>
    </w:p>
    <w:p w14:paraId="4CE73B77">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再入院计划校验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根据再入院评定标准，对再入院情况进行校验</w:t>
      </w:r>
      <w:r>
        <w:rPr>
          <w:rFonts w:hint="eastAsia" w:ascii="宋体" w:hAnsi="宋体" w:eastAsia="宋体" w:cs="宋体"/>
          <w:color w:val="auto"/>
          <w:sz w:val="24"/>
          <w:szCs w:val="24"/>
          <w:lang w:eastAsia="zh-CN"/>
        </w:rPr>
        <w:t>。</w:t>
      </w:r>
    </w:p>
    <w:p w14:paraId="679DAE03">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rPr>
        <w:t>医保结算清单管理</w:t>
      </w:r>
    </w:p>
    <w:p w14:paraId="0503379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医保结算清单质控：支持医保结算清单的质控，</w:t>
      </w:r>
      <w:r>
        <w:rPr>
          <w:rFonts w:hint="eastAsia" w:ascii="宋体" w:hAnsi="宋体" w:eastAsia="宋体" w:cs="宋体"/>
          <w:color w:val="auto"/>
          <w:sz w:val="24"/>
          <w:szCs w:val="24"/>
        </w:rPr>
        <w:t>对漏诊断、漏手术等情况，通过读取医保收费编码提示医生及编码员及时进行补填报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val="en-US" w:eastAsia="zh-CN"/>
        </w:rPr>
        <w:t>确保医保结算清单上传质量。</w:t>
      </w:r>
    </w:p>
    <w:p w14:paraId="61CEB614">
      <w:pPr>
        <w:rPr>
          <w:rFonts w:hint="eastAsia" w:ascii="宋体" w:hAnsi="宋体" w:eastAsia="宋体" w:cs="宋体"/>
          <w:strike w:val="0"/>
          <w:color w:val="auto"/>
          <w:sz w:val="24"/>
          <w:szCs w:val="24"/>
          <w:highlight w:val="none"/>
          <w:lang w:eastAsia="zh-CN"/>
        </w:rPr>
      </w:pPr>
      <w:r>
        <w:rPr>
          <w:rFonts w:hint="eastAsia" w:ascii="宋体" w:hAnsi="宋体" w:eastAsia="宋体" w:cs="宋体"/>
          <w:color w:val="auto"/>
          <w:sz w:val="24"/>
          <w:szCs w:val="24"/>
          <w:lang w:val="en-US" w:eastAsia="zh-CN"/>
        </w:rPr>
        <w:t>DIP入组管理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sz w:val="24"/>
          <w:szCs w:val="24"/>
          <w:highlight w:val="none"/>
        </w:rPr>
        <w:t>展示DIP入组明细及每份病历的DIP入组分值</w:t>
      </w:r>
      <w:r>
        <w:rPr>
          <w:rFonts w:hint="eastAsia" w:ascii="宋体" w:hAnsi="宋体" w:eastAsia="宋体" w:cs="宋体"/>
          <w:color w:val="auto"/>
          <w:sz w:val="24"/>
          <w:szCs w:val="24"/>
          <w:highlight w:val="none"/>
          <w:lang w:eastAsia="zh-CN"/>
        </w:rPr>
        <w:t>，</w:t>
      </w:r>
      <w:r>
        <w:rPr>
          <w:rFonts w:hint="eastAsia" w:ascii="宋体" w:hAnsi="宋体" w:eastAsia="宋体" w:cs="宋体"/>
          <w:strike w:val="0"/>
          <w:dstrike w:val="0"/>
          <w:color w:val="auto"/>
          <w:sz w:val="24"/>
          <w:szCs w:val="24"/>
          <w:highlight w:val="none"/>
        </w:rPr>
        <w:t>支持导出指定时间段每份病历DIP入组和DIP分值、倍率、盈亏明细等。</w:t>
      </w:r>
    </w:p>
    <w:p w14:paraId="7F98EF66">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医保结算清单上传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根据当地医保政策，进行医保结算清单数据上报</w:t>
      </w:r>
      <w:r>
        <w:rPr>
          <w:rFonts w:hint="eastAsia" w:ascii="宋体" w:hAnsi="宋体" w:eastAsia="宋体" w:cs="宋体"/>
          <w:color w:val="auto"/>
          <w:sz w:val="24"/>
          <w:szCs w:val="24"/>
          <w:lang w:eastAsia="zh-CN"/>
        </w:rPr>
        <w:t>。</w:t>
      </w:r>
    </w:p>
    <w:p w14:paraId="5F6A1393">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清单打印查询功能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展现完整的医保结算清单，并支持打印结算清单</w:t>
      </w:r>
      <w:r>
        <w:rPr>
          <w:rFonts w:hint="eastAsia" w:ascii="宋体" w:hAnsi="宋体" w:eastAsia="宋体" w:cs="宋体"/>
          <w:color w:val="auto"/>
          <w:sz w:val="24"/>
          <w:szCs w:val="24"/>
          <w:lang w:eastAsia="zh-CN"/>
        </w:rPr>
        <w:t>。</w:t>
      </w:r>
    </w:p>
    <w:p w14:paraId="109B8BBB">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rPr>
        <w:t>ICD知识库</w:t>
      </w:r>
    </w:p>
    <w:p w14:paraId="7615C0A0">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诊断知识库（ICD-10）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系统支持查询</w:t>
      </w:r>
      <w:r>
        <w:rPr>
          <w:rFonts w:hint="eastAsia" w:ascii="宋体" w:hAnsi="宋体" w:eastAsia="宋体" w:cs="宋体"/>
          <w:color w:val="auto"/>
          <w:sz w:val="24"/>
          <w:szCs w:val="24"/>
        </w:rPr>
        <w:t>疾病诊断编码（ICD-10）国际编码规则的信息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包括所有条目编码的目、类目、亚目、细目，编码的内涵、包括、不包括、备注等信息，以方便编码员核查及学习</w:t>
      </w:r>
      <w:r>
        <w:rPr>
          <w:rFonts w:hint="eastAsia" w:ascii="宋体" w:hAnsi="宋体" w:eastAsia="宋体" w:cs="宋体"/>
          <w:color w:val="auto"/>
          <w:sz w:val="24"/>
          <w:szCs w:val="24"/>
          <w:lang w:eastAsia="zh-CN"/>
        </w:rPr>
        <w:t>。</w:t>
      </w:r>
    </w:p>
    <w:p w14:paraId="1E815113">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手术和操作知识库（ICD-9）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系统</w:t>
      </w:r>
      <w:r>
        <w:rPr>
          <w:rFonts w:hint="eastAsia" w:ascii="宋体" w:hAnsi="宋体" w:eastAsia="宋体" w:cs="宋体"/>
          <w:color w:val="auto"/>
          <w:sz w:val="24"/>
          <w:szCs w:val="24"/>
          <w:lang w:val="en-US" w:eastAsia="zh-CN"/>
        </w:rPr>
        <w:t>支持查询</w:t>
      </w:r>
      <w:r>
        <w:rPr>
          <w:rFonts w:hint="eastAsia" w:ascii="宋体" w:hAnsi="宋体" w:eastAsia="宋体" w:cs="宋体"/>
          <w:color w:val="auto"/>
          <w:sz w:val="24"/>
          <w:szCs w:val="24"/>
        </w:rPr>
        <w:t>手术及操作编码（ICD-9）国际编码规则的信息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包括所有条目编码的目、类目、亚目、细目，编码的内涵、包括、不包括、备注等信息，以方便编码员核查及学习</w:t>
      </w:r>
      <w:r>
        <w:rPr>
          <w:rFonts w:hint="eastAsia" w:ascii="宋体" w:hAnsi="宋体" w:eastAsia="宋体" w:cs="宋体"/>
          <w:color w:val="auto"/>
          <w:sz w:val="24"/>
          <w:szCs w:val="24"/>
          <w:lang w:eastAsia="zh-CN"/>
        </w:rPr>
        <w:t>。</w:t>
      </w:r>
    </w:p>
    <w:p w14:paraId="035E793C">
      <w:pPr>
        <w:pStyle w:val="15"/>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临床知识库</w:t>
      </w:r>
    </w:p>
    <w:p w14:paraId="03283753">
      <w:pP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临床诊断知识库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系统支持</w:t>
      </w:r>
      <w:r>
        <w:rPr>
          <w:rFonts w:hint="eastAsia" w:ascii="宋体" w:hAnsi="宋体" w:eastAsia="宋体" w:cs="宋体"/>
          <w:color w:val="auto"/>
          <w:sz w:val="24"/>
          <w:szCs w:val="24"/>
        </w:rPr>
        <w:t>临床诊断知识库</w:t>
      </w:r>
      <w:r>
        <w:rPr>
          <w:rFonts w:hint="eastAsia" w:ascii="宋体" w:hAnsi="宋体" w:eastAsia="宋体" w:cs="宋体"/>
          <w:color w:val="auto"/>
          <w:sz w:val="24"/>
          <w:szCs w:val="24"/>
          <w:lang w:val="en-US" w:eastAsia="zh-CN"/>
        </w:rPr>
        <w:t>查询，</w:t>
      </w:r>
      <w:r>
        <w:rPr>
          <w:rFonts w:hint="eastAsia" w:ascii="宋体" w:hAnsi="宋体" w:eastAsia="宋体" w:cs="宋体"/>
          <w:color w:val="auto"/>
          <w:sz w:val="24"/>
          <w:szCs w:val="24"/>
          <w:highlight w:val="none"/>
        </w:rPr>
        <w:t>包括疾病简介、病因、症状、并发症、检查、鉴别、治疗；</w:t>
      </w:r>
    </w:p>
    <w:p w14:paraId="371C0D17">
      <w:pP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临床手术操作知识库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系统支持</w:t>
      </w:r>
      <w:r>
        <w:rPr>
          <w:rFonts w:hint="eastAsia" w:ascii="宋体" w:hAnsi="宋体" w:eastAsia="宋体" w:cs="宋体"/>
          <w:color w:val="auto"/>
          <w:sz w:val="24"/>
          <w:szCs w:val="24"/>
          <w:highlight w:val="none"/>
        </w:rPr>
        <w:t>临床手术知识库</w:t>
      </w:r>
      <w:r>
        <w:rPr>
          <w:rFonts w:hint="eastAsia" w:ascii="宋体" w:hAnsi="宋体" w:eastAsia="宋体" w:cs="宋体"/>
          <w:color w:val="auto"/>
          <w:sz w:val="24"/>
          <w:szCs w:val="24"/>
          <w:highlight w:val="none"/>
          <w:lang w:val="en-US" w:eastAsia="zh-CN"/>
        </w:rPr>
        <w:t>查询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包括手术描述、适应症、手术步骤、注意事项、并发症、术后护理；</w:t>
      </w:r>
    </w:p>
    <w:p w14:paraId="02894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药品知识库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系统支持</w:t>
      </w:r>
      <w:r>
        <w:rPr>
          <w:rFonts w:hint="eastAsia" w:ascii="宋体" w:hAnsi="宋体" w:eastAsia="宋体" w:cs="宋体"/>
          <w:color w:val="auto"/>
          <w:sz w:val="24"/>
          <w:szCs w:val="24"/>
          <w:highlight w:val="none"/>
        </w:rPr>
        <w:t>药品知识库</w:t>
      </w:r>
      <w:r>
        <w:rPr>
          <w:rFonts w:hint="eastAsia" w:ascii="宋体" w:hAnsi="宋体" w:eastAsia="宋体" w:cs="宋体"/>
          <w:color w:val="auto"/>
          <w:sz w:val="24"/>
          <w:szCs w:val="24"/>
          <w:highlight w:val="none"/>
          <w:lang w:val="en-US" w:eastAsia="zh-CN"/>
        </w:rPr>
        <w:t>查询，</w:t>
      </w:r>
      <w:r>
        <w:rPr>
          <w:rFonts w:hint="eastAsia" w:ascii="宋体" w:hAnsi="宋体" w:eastAsia="宋体" w:cs="宋体"/>
          <w:color w:val="auto"/>
          <w:sz w:val="24"/>
          <w:szCs w:val="24"/>
          <w:highlight w:val="none"/>
        </w:rPr>
        <w:t>包括药品名称、适应症状、不良反应、用法用量、禁忌、注意事项；</w:t>
      </w:r>
    </w:p>
    <w:p w14:paraId="47954BC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p w14:paraId="2652FE7F">
      <w:pPr>
        <w:pStyle w:val="14"/>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医院决策分析系统</w:t>
      </w:r>
    </w:p>
    <w:p w14:paraId="61B95D4E">
      <w:pPr>
        <w:pStyle w:val="15"/>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医院决策分析</w:t>
      </w:r>
      <w:r>
        <w:rPr>
          <w:rFonts w:hint="eastAsia" w:ascii="宋体" w:hAnsi="宋体" w:eastAsia="宋体" w:cs="宋体"/>
          <w:color w:val="auto"/>
          <w:sz w:val="24"/>
          <w:szCs w:val="24"/>
          <w:highlight w:val="none"/>
          <w:lang w:val="en-US" w:eastAsia="zh-CN"/>
        </w:rPr>
        <w:t>模块</w:t>
      </w:r>
    </w:p>
    <w:p w14:paraId="768C3302">
      <w:pPr>
        <w:pStyle w:val="16"/>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病种分析</w:t>
      </w:r>
    </w:p>
    <w:p w14:paraId="3DA4CAD5">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病种覆盖情况分析</w:t>
      </w:r>
      <w:r>
        <w:rPr>
          <w:rFonts w:hint="eastAsia" w:ascii="宋体" w:hAnsi="宋体" w:eastAsia="宋体" w:cs="宋体"/>
          <w:color w:val="auto"/>
          <w:sz w:val="24"/>
          <w:szCs w:val="24"/>
          <w:lang w:eastAsia="zh-CN"/>
        </w:rPr>
        <w:t>：系统支持按照某一时间段内，通过面积图统计连续月份病种覆盖实际情况，了解病种覆盖度。</w:t>
      </w:r>
    </w:p>
    <w:p w14:paraId="771A729B">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病种排名情况分析</w:t>
      </w:r>
      <w:r>
        <w:rPr>
          <w:rFonts w:hint="eastAsia" w:ascii="宋体" w:hAnsi="宋体" w:eastAsia="宋体" w:cs="宋体"/>
          <w:color w:val="auto"/>
          <w:sz w:val="24"/>
          <w:szCs w:val="24"/>
          <w:lang w:eastAsia="zh-CN"/>
        </w:rPr>
        <w:t>：按照科室覆盖病种数展示排名所有科室，按照病种收治人数展示排名前10病种情况，按照病种超支情况展示排名前10病种超支病种情况。</w:t>
      </w:r>
    </w:p>
    <w:p w14:paraId="70727566">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病种流向情况分析</w:t>
      </w:r>
      <w:r>
        <w:rPr>
          <w:rFonts w:hint="eastAsia" w:ascii="宋体" w:hAnsi="宋体" w:eastAsia="宋体" w:cs="宋体"/>
          <w:color w:val="auto"/>
          <w:sz w:val="24"/>
          <w:szCs w:val="24"/>
          <w:lang w:eastAsia="zh-CN"/>
        </w:rPr>
        <w:t>：系统支持展示病种具体流向科室、医师情况分析，以及患者超支、盈亏散点图趋势。</w:t>
      </w:r>
    </w:p>
    <w:p w14:paraId="1B89773F">
      <w:pPr>
        <w:pStyle w:val="16"/>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费用分析</w:t>
      </w:r>
    </w:p>
    <w:p w14:paraId="5608EF11">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费用分类分析</w:t>
      </w:r>
      <w:r>
        <w:rPr>
          <w:rFonts w:hint="eastAsia" w:ascii="宋体" w:hAnsi="宋体" w:eastAsia="宋体" w:cs="宋体"/>
          <w:color w:val="auto"/>
          <w:sz w:val="24"/>
          <w:szCs w:val="24"/>
          <w:lang w:eastAsia="zh-CN"/>
        </w:rPr>
        <w:t>：支持将费用进行进一步细分类，从不同维度，如：全院、科室、医生、病种等维度，利用不同图表类型展示分析细分类费用的趋势与占比结构，同时支持细分类费用与各分类标杆（数据来源）对比分析，同时支持与同期的对比分析。</w:t>
      </w:r>
    </w:p>
    <w:p w14:paraId="7C2D9E5B">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费用分类与标杆对比分析</w:t>
      </w:r>
      <w:r>
        <w:rPr>
          <w:rFonts w:hint="eastAsia" w:ascii="宋体" w:hAnsi="宋体" w:eastAsia="宋体" w:cs="宋体"/>
          <w:color w:val="auto"/>
          <w:sz w:val="24"/>
          <w:szCs w:val="24"/>
          <w:lang w:eastAsia="zh-CN"/>
        </w:rPr>
        <w:t>：系统支持对费用类别的多维度分析，从科室、费别等不同维度，对药品费、卫材费、医技费、其他费用（医疗、管理、护理）的收入以及占比的结构分析，并且支持各项分类费用的实际与标杆（数据来源）对比分析。</w:t>
      </w:r>
    </w:p>
    <w:p w14:paraId="008AB393">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费用趋势分析</w:t>
      </w:r>
      <w:r>
        <w:rPr>
          <w:rFonts w:hint="eastAsia" w:ascii="宋体" w:hAnsi="宋体" w:eastAsia="宋体" w:cs="宋体"/>
          <w:color w:val="auto"/>
          <w:sz w:val="24"/>
          <w:szCs w:val="24"/>
          <w:lang w:eastAsia="zh-CN"/>
        </w:rPr>
        <w:t>：系统支持对费用趋势的多维度分析，从科室、费别等不同维度，分析例均费用趋势、例均盈亏趋势，并且实现同期及当期对比等。</w:t>
      </w:r>
    </w:p>
    <w:p w14:paraId="70DBB418">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费用占比分析</w:t>
      </w:r>
      <w:r>
        <w:rPr>
          <w:rFonts w:hint="eastAsia" w:ascii="宋体" w:hAnsi="宋体" w:eastAsia="宋体" w:cs="宋体"/>
          <w:color w:val="auto"/>
          <w:sz w:val="24"/>
          <w:szCs w:val="24"/>
          <w:lang w:eastAsia="zh-CN"/>
        </w:rPr>
        <w:t>：系统支持对费用占比的多维度分析，从科室、病种、费别等不同维度，分析周期内药品费、卫材费、医技-检查费、医技-检验费、其他费用（医疗、管理、护理）各项费用金额以及占比情况并且同时支持展示总金额。。</w:t>
      </w:r>
    </w:p>
    <w:p w14:paraId="52FAE693">
      <w:pPr>
        <w:pStyle w:val="16"/>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超支分析</w:t>
      </w:r>
    </w:p>
    <w:p w14:paraId="5D468B3D">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总超支分析</w:t>
      </w:r>
      <w:r>
        <w:rPr>
          <w:rFonts w:hint="eastAsia" w:ascii="宋体" w:hAnsi="宋体" w:eastAsia="宋体" w:cs="宋体"/>
          <w:color w:val="auto"/>
          <w:sz w:val="24"/>
          <w:szCs w:val="24"/>
          <w:lang w:eastAsia="zh-CN"/>
        </w:rPr>
        <w:t>：系统支持从科室、费别等不同维度，支持展示查询区间内超支总体金额、例均超支金额、总例数，总收入、例均收入，总盈亏、例均盈亏、CMI趋势、总盈亏趋势。</w:t>
      </w:r>
    </w:p>
    <w:p w14:paraId="21EFEE63">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超支结构分析</w:t>
      </w:r>
      <w:r>
        <w:rPr>
          <w:rFonts w:hint="eastAsia" w:ascii="宋体" w:hAnsi="宋体" w:eastAsia="宋体" w:cs="宋体"/>
          <w:color w:val="auto"/>
          <w:sz w:val="24"/>
          <w:szCs w:val="24"/>
          <w:lang w:eastAsia="zh-CN"/>
        </w:rPr>
        <w:t>：系统支持对超支的多维度分析，从科室、费别等不同维度，分析周期内药品、卫材、医技、其他（医疗、管理、护理）各项超支金额以及超支趋势。</w:t>
      </w: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lang w:eastAsia="zh-CN"/>
        </w:rPr>
        <w:t>下钻分析具体科室超支情况以及超支趋势、超支盈亏对比。</w:t>
      </w:r>
    </w:p>
    <w:p w14:paraId="4B16A9C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科室超支结构分析</w:t>
      </w:r>
      <w:r>
        <w:rPr>
          <w:rFonts w:hint="eastAsia" w:ascii="宋体" w:hAnsi="宋体" w:eastAsia="宋体" w:cs="宋体"/>
          <w:color w:val="auto"/>
          <w:sz w:val="24"/>
          <w:szCs w:val="24"/>
          <w:lang w:eastAsia="zh-CN"/>
        </w:rPr>
        <w:t>：系统支持从科室、费别等不同维度，分析周期内科室超支占比结构，可以清晰地展示超支排名前10的科室和其他超支的科室占比结构，可以清晰分析出超支前10科室的超支占比和超支金额</w:t>
      </w:r>
      <w:r>
        <w:rPr>
          <w:rFonts w:hint="eastAsia" w:ascii="宋体" w:hAnsi="宋体" w:eastAsia="宋体" w:cs="宋体"/>
          <w:color w:val="auto"/>
          <w:sz w:val="24"/>
          <w:szCs w:val="24"/>
          <w:highlight w:val="none"/>
          <w:lang w:eastAsia="zh-CN"/>
        </w:rPr>
        <w:t>。</w:t>
      </w:r>
    </w:p>
    <w:p w14:paraId="1DF8244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科室超支对比分析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系统支持从科室、费别等不同维度，分析周期内各科室的总超支趋势、例均超支趋势、周期内各科室超支总额对比分析，各科室总盈亏对比分析。</w:t>
      </w:r>
    </w:p>
    <w:p w14:paraId="6C9B27A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病种超支趋势分析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系统支持对超支及超支趋势的病种四象限分析，列出各组的例数、超支以及超支趋势，可以实现下钻分析具体病种情况。</w:t>
      </w:r>
    </w:p>
    <w:p w14:paraId="1F520E9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病种超支结构分析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系统支持从科室、费别等不同维度，分析周期内各病种的超支结构、病种超支趋势、病种盈亏趋势。支持汇总多分析周期内、多科室、不同费别下的病种总体超支、例均超支，病种总盈亏、例均盈亏以及病种权重。</w:t>
      </w:r>
    </w:p>
    <w:p w14:paraId="729E5CD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病种科室对比分析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系统支持从科室、费别等不同维度，分析周期内病种涉及科室数据分析，展示某病种下各科室总例数、总费用、总超支、总盈亏、例均住院日、药品、麻醉费、病理费、卫材消耗指数等信息。</w:t>
      </w:r>
    </w:p>
    <w:p w14:paraId="1A7C03BA">
      <w:pPr>
        <w:pStyle w:val="16"/>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分类分析</w:t>
      </w:r>
    </w:p>
    <w:p w14:paraId="42CCB478">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10天</w:t>
      </w:r>
      <w:r>
        <w:rPr>
          <w:rFonts w:hint="eastAsia" w:ascii="宋体" w:hAnsi="宋体" w:eastAsia="宋体" w:cs="宋体"/>
          <w:color w:val="auto"/>
          <w:sz w:val="24"/>
          <w:szCs w:val="24"/>
        </w:rPr>
        <w:t>及31天再入院分析</w:t>
      </w:r>
      <w:r>
        <w:rPr>
          <w:rFonts w:hint="eastAsia" w:ascii="宋体" w:hAnsi="宋体" w:eastAsia="宋体" w:cs="宋体"/>
          <w:color w:val="auto"/>
          <w:sz w:val="24"/>
          <w:szCs w:val="24"/>
          <w:lang w:eastAsia="zh-CN"/>
        </w:rPr>
        <w:t>：系统支持对于医疗服务质量的分析，包括对两周（10天）再入院、31天再入院的趋势及同期情况进行分析，同时可以汇总查看转科、转院患者明细，包括不限于费别、总费用、超支、住院日</w:t>
      </w:r>
      <w:r>
        <w:rPr>
          <w:rFonts w:hint="eastAsia" w:ascii="宋体" w:hAnsi="宋体" w:eastAsia="宋体" w:cs="宋体"/>
          <w:color w:val="auto"/>
          <w:sz w:val="24"/>
          <w:szCs w:val="24"/>
          <w:highlight w:val="none"/>
          <w:lang w:eastAsia="zh-CN"/>
        </w:rPr>
        <w:t>等。</w:t>
      </w:r>
    </w:p>
    <w:p w14:paraId="6A28B8CC">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转科转院患者分析</w:t>
      </w:r>
      <w:r>
        <w:rPr>
          <w:rFonts w:hint="eastAsia" w:ascii="宋体" w:hAnsi="宋体" w:eastAsia="宋体" w:cs="宋体"/>
          <w:color w:val="auto"/>
          <w:sz w:val="24"/>
          <w:szCs w:val="24"/>
          <w:lang w:eastAsia="zh-CN"/>
        </w:rPr>
        <w:t>：可以通过不同检索条件分析转科、转院患者例数趋势及同期对比情况，同时可以汇总查看转科、转院患者明细，包括不限于费别、总费用、超支、住院日等</w:t>
      </w:r>
      <w:r>
        <w:rPr>
          <w:rFonts w:hint="eastAsia" w:ascii="宋体" w:hAnsi="宋体" w:eastAsia="宋体" w:cs="宋体"/>
          <w:color w:val="auto"/>
          <w:sz w:val="24"/>
          <w:szCs w:val="24"/>
          <w:highlight w:val="none"/>
          <w:lang w:eastAsia="zh-CN"/>
        </w:rPr>
        <w:t>。</w:t>
      </w:r>
    </w:p>
    <w:p w14:paraId="664E3BFF">
      <w:pPr>
        <w:pStyle w:val="16"/>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偏移分析</w:t>
      </w:r>
    </w:p>
    <w:p w14:paraId="783ADEDE">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超支与CMI偏移分析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系统支持按照超支及CMI进行四象限偏移分析，实现按照时间段展示科室的超支及CMI的四象限位置情况，同时支持展示以科室为统计维度的各项指标明细情况。</w:t>
      </w:r>
    </w:p>
    <w:p w14:paraId="4B97E21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时间消耗指数与费用消耗指数偏移分析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系统支持按照时间消耗指数及费用消耗指数进行四象限偏移分析，实现按照时间段展示病种的时间消耗指数与费用消耗指数的四象限位置情况及CMI值大小情况，同时支持病种指标明细情况。</w:t>
      </w:r>
    </w:p>
    <w:p w14:paraId="505057B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超支与盈亏偏移分析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系统支持按照超支及盈亏进行四象限偏移分析，实现按照时间段展示病种的超支及盈亏的四象限位置情况，同时支持病种指标明细情况。</w:t>
      </w:r>
    </w:p>
    <w:p w14:paraId="36F7682F">
      <w:pPr>
        <w:pStyle w:val="16"/>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中医分析</w:t>
      </w:r>
    </w:p>
    <w:p w14:paraId="4D055FEB">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药品费用分析</w:t>
      </w:r>
      <w:r>
        <w:rPr>
          <w:rFonts w:hint="eastAsia" w:ascii="宋体" w:hAnsi="宋体" w:eastAsia="宋体" w:cs="宋体"/>
          <w:color w:val="auto"/>
          <w:sz w:val="24"/>
          <w:szCs w:val="24"/>
          <w:lang w:eastAsia="zh-CN"/>
        </w:rPr>
        <w:t>：支持对中医药品费用的多维度分析，从不同维度，分析西药费用趋势、中成药费用趋势、中草药费用趋势，并且实现同期及当期对比。</w:t>
      </w:r>
    </w:p>
    <w:p w14:paraId="6406A481">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中医非药物疗法分析</w:t>
      </w:r>
      <w:r>
        <w:rPr>
          <w:rFonts w:hint="eastAsia" w:ascii="宋体" w:hAnsi="宋体" w:eastAsia="宋体" w:cs="宋体"/>
          <w:color w:val="auto"/>
          <w:sz w:val="24"/>
          <w:szCs w:val="24"/>
          <w:lang w:eastAsia="zh-CN"/>
        </w:rPr>
        <w:t>：支持对中医非药物疗法分析，从科室、医生等不同维度，分析中医非药物疗法的各项指标。</w:t>
      </w:r>
    </w:p>
    <w:p w14:paraId="22C07F87">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以中医为主的治疗分析</w:t>
      </w:r>
      <w:r>
        <w:rPr>
          <w:rFonts w:hint="eastAsia" w:ascii="宋体" w:hAnsi="宋体" w:eastAsia="宋体" w:cs="宋体"/>
          <w:color w:val="auto"/>
          <w:sz w:val="24"/>
          <w:szCs w:val="24"/>
          <w:lang w:eastAsia="zh-CN"/>
        </w:rPr>
        <w:t>：支持以中医为主的治疗分析，从不同维度，分析以中医为主的治疗的各项指标。</w:t>
      </w:r>
    </w:p>
    <w:p w14:paraId="7C59AE59">
      <w:pPr>
        <w:pStyle w:val="16"/>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管理驾驶舱</w:t>
      </w:r>
    </w:p>
    <w:p w14:paraId="55426E6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管理驾驶舱</w:t>
      </w:r>
      <w:r>
        <w:rPr>
          <w:rFonts w:hint="eastAsia" w:ascii="宋体" w:hAnsi="宋体" w:eastAsia="宋体" w:cs="宋体"/>
          <w:color w:val="auto"/>
          <w:sz w:val="24"/>
          <w:szCs w:val="24"/>
          <w:lang w:eastAsia="zh-CN"/>
        </w:rPr>
        <w:t>：通过驾驶舱能够快速了解全院数据运营情况，包括总费用、总超支、总权重、总例数、时间消耗指数、费用消耗指数、CMI、支用比等数据情况，同时展示超支排名前</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的科室及病种，以及全院范围内的疾病图谱情况。</w:t>
      </w:r>
    </w:p>
    <w:p w14:paraId="0DE06D8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科室驾驶舱</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highlight w:val="none"/>
          <w:lang w:eastAsia="zh-CN"/>
        </w:rPr>
        <w:t>按照不同统计周期内或不同费别进行分析，</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总费用、总例数、总超支、CMI、时间消耗指数、费用消耗指数、支用比等指标数据。</w:t>
      </w:r>
      <w:r>
        <w:rPr>
          <w:rFonts w:hint="eastAsia" w:ascii="宋体" w:hAnsi="宋体" w:eastAsia="宋体" w:cs="宋体"/>
          <w:color w:val="auto"/>
          <w:sz w:val="24"/>
          <w:szCs w:val="24"/>
          <w:highlight w:val="none"/>
          <w:lang w:val="en-US" w:eastAsia="zh-CN"/>
        </w:rPr>
        <w:t>支持对</w:t>
      </w:r>
      <w:r>
        <w:rPr>
          <w:rFonts w:hint="eastAsia" w:ascii="宋体" w:hAnsi="宋体" w:eastAsia="宋体" w:cs="宋体"/>
          <w:color w:val="auto"/>
          <w:sz w:val="24"/>
          <w:szCs w:val="24"/>
          <w:highlight w:val="none"/>
          <w:lang w:eastAsia="zh-CN"/>
        </w:rPr>
        <w:t>CMI、时间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费用消耗指数、超支趋势等各指标的趋势情况</w:t>
      </w:r>
      <w:r>
        <w:rPr>
          <w:rFonts w:hint="eastAsia" w:ascii="宋体" w:hAnsi="宋体" w:eastAsia="宋体" w:cs="宋体"/>
          <w:color w:val="auto"/>
          <w:sz w:val="24"/>
          <w:szCs w:val="24"/>
          <w:highlight w:val="none"/>
          <w:lang w:val="en-US" w:eastAsia="zh-CN"/>
        </w:rPr>
        <w:t>分析，</w:t>
      </w:r>
      <w:r>
        <w:rPr>
          <w:rFonts w:hint="eastAsia" w:ascii="宋体" w:hAnsi="宋体" w:eastAsia="宋体" w:cs="宋体"/>
          <w:color w:val="auto"/>
          <w:sz w:val="24"/>
          <w:szCs w:val="24"/>
          <w:highlight w:val="none"/>
          <w:lang w:eastAsia="zh-CN"/>
        </w:rPr>
        <w:t>科室内医生超支排名情况以及科室覆盖各病种组的详细指标情况。</w:t>
      </w:r>
    </w:p>
    <w:p w14:paraId="733D5E08">
      <w:pPr>
        <w:pStyle w:val="16"/>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标杆维护</w:t>
      </w:r>
    </w:p>
    <w:p w14:paraId="3387E7CB">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系统支持根据需要选择不同时间段内，不同标杆类型、不同组进行筛选，支持对某一标杆类型下某个组的有效时间范围、总费用标杆、住院日标杆、药品费用标杆、卫材费用标杆、医技费用标杆、护理费用标杆、管理费用标杆、医疗费用标杆展示，提供管理者清晰的标杆参考值。</w:t>
      </w:r>
    </w:p>
    <w:p w14:paraId="564372E0">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系统支持根据参考值，进行总费用标杆、住院日标杆、药品费用标杆、卫材费用标杆、医技费用标杆、护理费用标杆、管理费用标杆、医疗费用标杆数据的修改，支持对修改后的标杆进行数据模拟，支持展示模拟后的结果展示，展示新标杆下的总费用。为管理者选定标杆提供依据。</w:t>
      </w:r>
    </w:p>
    <w:p w14:paraId="52BBB12D">
      <w:pPr>
        <w:pStyle w:val="15"/>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医院决策评估报告</w:t>
      </w:r>
      <w:r>
        <w:rPr>
          <w:rFonts w:hint="eastAsia" w:ascii="宋体" w:hAnsi="宋体" w:eastAsia="宋体" w:cs="宋体"/>
          <w:color w:val="auto"/>
          <w:sz w:val="24"/>
          <w:szCs w:val="24"/>
          <w:highlight w:val="none"/>
          <w:lang w:val="en-US" w:eastAsia="zh-CN"/>
        </w:rPr>
        <w:t>模块</w:t>
      </w:r>
    </w:p>
    <w:p w14:paraId="7376507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系统能够自动生成供医院使用的决策评估报告，报告内容涵盖多种医院运营情况。</w:t>
      </w:r>
    </w:p>
    <w:p w14:paraId="5B39F70C">
      <w:pPr>
        <w:pStyle w:val="1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报告浏览器</w:t>
      </w:r>
    </w:p>
    <w:p w14:paraId="607A5D3D">
      <w:pPr>
        <w:bidi w:val="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支持按时间、费别、标杆等检索条件，一键生成对应报告预览；导出报告支持按照文章标题进行自动排序，方便使用者按照标题进行便捷查看。</w:t>
      </w:r>
      <w:r>
        <w:rPr>
          <w:rFonts w:hint="eastAsia" w:ascii="宋体" w:hAnsi="宋体" w:eastAsia="宋体" w:cs="宋体"/>
          <w:color w:val="auto"/>
          <w:sz w:val="24"/>
          <w:szCs w:val="24"/>
          <w:highlight w:val="none"/>
          <w:lang w:val="en-US" w:eastAsia="zh-CN"/>
        </w:rPr>
        <w:t>编辑完成的报告具备支持按照WORD、PDF等格式下载功能。</w:t>
      </w:r>
    </w:p>
    <w:p w14:paraId="10F24D97">
      <w:pPr>
        <w:pStyle w:val="1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报告查看器</w:t>
      </w:r>
    </w:p>
    <w:p w14:paraId="129CBF0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支持按照全院、科系、科室等不同维度进行报告查看。对包括结算清单、病案首页、国际编码规则所校验出来的问题进行典型分析统计，形成报告，方便各科室进行教学整改。</w:t>
      </w:r>
      <w:r>
        <w:rPr>
          <w:rFonts w:hint="eastAsia" w:ascii="宋体" w:hAnsi="宋体" w:eastAsia="宋体" w:cs="宋体"/>
          <w:color w:val="auto"/>
          <w:sz w:val="24"/>
          <w:szCs w:val="24"/>
          <w:lang w:val="en-US" w:eastAsia="zh-CN"/>
        </w:rPr>
        <w:t>同时，报告模板库类型丰富，支持数据报告模板多</w:t>
      </w:r>
      <w:r>
        <w:rPr>
          <w:rFonts w:hint="eastAsia" w:ascii="宋体" w:hAnsi="宋体" w:eastAsia="宋体" w:cs="宋体"/>
          <w:color w:val="auto"/>
          <w:sz w:val="24"/>
          <w:szCs w:val="24"/>
          <w:highlight w:val="none"/>
          <w:lang w:val="en-US" w:eastAsia="zh-CN"/>
        </w:rPr>
        <w:t>样化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导出报告后支持自动生成目录。</w:t>
      </w:r>
    </w:p>
    <w:p w14:paraId="4B6595C2">
      <w:pPr>
        <w:pStyle w:val="1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报告编辑器</w:t>
      </w:r>
    </w:p>
    <w:p w14:paraId="7F4DCA0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支持照科室、费别、时间等维度设置查询条件，支持通过拖拽形式，直接在报告编辑器内展示数据源加载情况；文本具备设置字体、颜色、加粗等功能；报告模板支持复制重新编辑等功能。</w:t>
      </w:r>
    </w:p>
    <w:p w14:paraId="35706CCB">
      <w:pPr>
        <w:pStyle w:val="16"/>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系统设置</w:t>
      </w:r>
    </w:p>
    <w:p w14:paraId="30CB342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导出报告可以根据权限进行限制，如根据权限只可以导出自己科室，或者对应科系的报告权限。支持</w:t>
      </w:r>
      <w:r>
        <w:rPr>
          <w:rFonts w:hint="eastAsia" w:ascii="宋体" w:hAnsi="宋体" w:eastAsia="宋体" w:cs="宋体"/>
          <w:color w:val="auto"/>
          <w:sz w:val="24"/>
          <w:szCs w:val="24"/>
        </w:rPr>
        <w:t>报告下放临床查看权限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val="en-US" w:eastAsia="zh-CN"/>
        </w:rPr>
        <w:t>对医院各个角色提供全院运营分析报告、科系运营分析报告、科室运营分析报告，便于各角色人员使用。</w:t>
      </w:r>
    </w:p>
    <w:p w14:paraId="0D740D8C">
      <w:pPr>
        <w:pStyle w:val="14"/>
        <w:bidi w:val="0"/>
        <w:rPr>
          <w:rFonts w:hint="eastAsia" w:ascii="宋体" w:hAnsi="宋体" w:eastAsia="宋体" w:cs="宋体"/>
          <w:color w:val="auto"/>
          <w:sz w:val="24"/>
          <w:szCs w:val="24"/>
        </w:rPr>
      </w:pPr>
      <w:r>
        <w:rPr>
          <w:rFonts w:hint="eastAsia" w:ascii="宋体" w:hAnsi="宋体" w:eastAsia="宋体" w:cs="宋体"/>
          <w:color w:val="auto"/>
          <w:sz w:val="24"/>
          <w:szCs w:val="24"/>
        </w:rPr>
        <w:t>医保</w:t>
      </w:r>
      <w:r>
        <w:rPr>
          <w:rFonts w:hint="eastAsia" w:ascii="宋体" w:hAnsi="宋体" w:eastAsia="宋体" w:cs="宋体"/>
          <w:color w:val="auto"/>
          <w:sz w:val="24"/>
          <w:szCs w:val="24"/>
          <w:lang w:val="en-US" w:eastAsia="zh-CN"/>
        </w:rPr>
        <w:t>病种监管</w:t>
      </w:r>
      <w:r>
        <w:rPr>
          <w:rFonts w:hint="eastAsia" w:ascii="宋体" w:hAnsi="宋体" w:eastAsia="宋体" w:cs="宋体"/>
          <w:color w:val="auto"/>
          <w:sz w:val="24"/>
          <w:szCs w:val="24"/>
        </w:rPr>
        <w:t>系统</w:t>
      </w:r>
    </w:p>
    <w:p w14:paraId="74E90CE9">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建设</w:t>
      </w:r>
      <w:r>
        <w:rPr>
          <w:rFonts w:hint="eastAsia" w:ascii="宋体" w:hAnsi="宋体" w:eastAsia="宋体" w:cs="宋体"/>
          <w:color w:val="auto"/>
          <w:sz w:val="24"/>
          <w:szCs w:val="24"/>
          <w:lang w:val="en-US" w:eastAsia="zh-CN"/>
        </w:rPr>
        <w:t>DIP病种监管系统</w:t>
      </w:r>
      <w:r>
        <w:rPr>
          <w:rFonts w:hint="eastAsia" w:ascii="宋体" w:hAnsi="宋体" w:eastAsia="宋体" w:cs="宋体"/>
          <w:color w:val="auto"/>
          <w:sz w:val="24"/>
          <w:szCs w:val="24"/>
        </w:rPr>
        <w:t>，基于医保结算清单数据与明细数据，建立横向、纵向等多维度的监管规则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重点监测</w:t>
      </w:r>
      <w:r>
        <w:rPr>
          <w:rFonts w:hint="eastAsia" w:ascii="宋体" w:hAnsi="宋体" w:eastAsia="宋体" w:cs="宋体"/>
          <w:color w:val="auto"/>
          <w:sz w:val="24"/>
          <w:szCs w:val="24"/>
          <w:lang w:val="en-US" w:eastAsia="zh-CN"/>
        </w:rPr>
        <w:t>可能存在高套编码、分解住院、低标入院、诱导住院、推诿重症、做高诊断、做多手术等违规行为</w:t>
      </w:r>
      <w:r>
        <w:rPr>
          <w:rFonts w:hint="eastAsia" w:ascii="宋体" w:hAnsi="宋体" w:eastAsia="宋体" w:cs="宋体"/>
          <w:color w:val="auto"/>
          <w:sz w:val="24"/>
          <w:szCs w:val="24"/>
        </w:rPr>
        <w:t>。</w:t>
      </w:r>
    </w:p>
    <w:p w14:paraId="4ABC18AA">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DIP病种监管</w:t>
      </w:r>
    </w:p>
    <w:p w14:paraId="2257BF58">
      <w:pPr>
        <w:pStyle w:val="16"/>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DIP合规性监管</w:t>
      </w:r>
    </w:p>
    <w:p w14:paraId="4585CDBA">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支持对DIP合规问题，包括</w:t>
      </w:r>
      <w:r>
        <w:rPr>
          <w:rFonts w:hint="eastAsia" w:ascii="宋体" w:hAnsi="宋体" w:eastAsia="宋体" w:cs="宋体"/>
          <w:color w:val="auto"/>
          <w:sz w:val="24"/>
          <w:szCs w:val="24"/>
        </w:rPr>
        <w:t>年龄冲突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性别冲突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体重冲突</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对患者基本信息、诊断及手术信息进行逻辑性、合理性的校验审核，对疑似</w:t>
      </w:r>
      <w:r>
        <w:rPr>
          <w:rFonts w:hint="eastAsia" w:ascii="宋体" w:hAnsi="宋体" w:eastAsia="宋体" w:cs="宋体"/>
          <w:color w:val="auto"/>
          <w:sz w:val="24"/>
          <w:szCs w:val="24"/>
          <w:lang w:val="en-US" w:eastAsia="zh-CN"/>
        </w:rPr>
        <w:t>违规</w:t>
      </w:r>
      <w:r>
        <w:rPr>
          <w:rFonts w:hint="eastAsia" w:ascii="宋体" w:hAnsi="宋体" w:eastAsia="宋体" w:cs="宋体"/>
          <w:color w:val="auto"/>
          <w:sz w:val="24"/>
          <w:szCs w:val="24"/>
        </w:rPr>
        <w:t>情况进行筛查审核，实现对</w:t>
      </w:r>
      <w:r>
        <w:rPr>
          <w:rFonts w:hint="eastAsia" w:ascii="宋体" w:hAnsi="宋体" w:eastAsia="宋体" w:cs="宋体"/>
          <w:color w:val="auto"/>
          <w:sz w:val="24"/>
          <w:szCs w:val="24"/>
          <w:lang w:val="en-US" w:eastAsia="zh-CN"/>
        </w:rPr>
        <w:t>DIP合规性监管</w:t>
      </w:r>
      <w:r>
        <w:rPr>
          <w:rFonts w:hint="eastAsia" w:ascii="宋体" w:hAnsi="宋体" w:eastAsia="宋体" w:cs="宋体"/>
          <w:color w:val="auto"/>
          <w:sz w:val="24"/>
          <w:szCs w:val="24"/>
        </w:rPr>
        <w:t>的数据进行监管。</w:t>
      </w:r>
      <w:r>
        <w:rPr>
          <w:rFonts w:hint="eastAsia" w:ascii="宋体" w:hAnsi="宋体" w:eastAsia="宋体" w:cs="宋体"/>
          <w:color w:val="auto"/>
          <w:sz w:val="24"/>
          <w:szCs w:val="24"/>
        </w:rPr>
        <w:br w:type="page"/>
      </w:r>
    </w:p>
    <w:p w14:paraId="2D5651BE">
      <w:pPr>
        <w:pStyle w:val="16"/>
        <w:bidi w:val="0"/>
        <w:rPr>
          <w:rFonts w:hint="eastAsia" w:ascii="宋体" w:hAnsi="宋体" w:eastAsia="宋体" w:cs="宋体"/>
          <w:color w:val="auto"/>
          <w:sz w:val="24"/>
          <w:szCs w:val="24"/>
        </w:rPr>
      </w:pPr>
      <w:r>
        <w:rPr>
          <w:rFonts w:hint="eastAsia" w:ascii="宋体" w:hAnsi="宋体" w:eastAsia="宋体" w:cs="宋体"/>
          <w:color w:val="auto"/>
          <w:sz w:val="24"/>
          <w:szCs w:val="24"/>
        </w:rPr>
        <w:t>低</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入院</w:t>
      </w:r>
      <w:r>
        <w:rPr>
          <w:rFonts w:hint="eastAsia" w:ascii="宋体" w:hAnsi="宋体" w:eastAsia="宋体" w:cs="宋体"/>
          <w:color w:val="auto"/>
          <w:sz w:val="24"/>
          <w:szCs w:val="24"/>
          <w:lang w:val="en-US" w:eastAsia="zh-CN"/>
        </w:rPr>
        <w:t>监管</w:t>
      </w:r>
    </w:p>
    <w:p w14:paraId="0EE3C9FF">
      <w:pPr>
        <w:rPr>
          <w:rFonts w:hint="eastAsia" w:ascii="宋体" w:hAnsi="宋体" w:eastAsia="宋体" w:cs="宋体"/>
          <w:color w:val="auto"/>
          <w:sz w:val="24"/>
          <w:szCs w:val="24"/>
        </w:rPr>
      </w:pPr>
      <w:r>
        <w:rPr>
          <w:rFonts w:hint="eastAsia" w:ascii="宋体" w:hAnsi="宋体" w:eastAsia="宋体" w:cs="宋体"/>
          <w:color w:val="auto"/>
          <w:sz w:val="24"/>
          <w:szCs w:val="24"/>
        </w:rPr>
        <w:t>利用大数据分析技术，对医保结算清单数据进行多维度分析，从诊断信息、手术信息、医嘱信息及费用信息等多方面进行校验审核，精准筛查出疑似低标准入院的病例。综合考虑疾病的诊断、治疗方式、患者年龄、性别、体重等因素，以及住院天数、费用等指标，建立低标准入院的筛查模型。</w:t>
      </w:r>
    </w:p>
    <w:p w14:paraId="4DBBDFFA">
      <w:pPr>
        <w:pStyle w:val="16"/>
        <w:rPr>
          <w:rFonts w:hint="eastAsia" w:ascii="宋体" w:hAnsi="宋体" w:eastAsia="宋体" w:cs="宋体"/>
          <w:color w:val="auto"/>
          <w:sz w:val="24"/>
          <w:szCs w:val="24"/>
        </w:rPr>
      </w:pPr>
      <w:r>
        <w:rPr>
          <w:rFonts w:hint="eastAsia" w:ascii="宋体" w:hAnsi="宋体" w:eastAsia="宋体" w:cs="宋体"/>
          <w:color w:val="auto"/>
          <w:sz w:val="24"/>
          <w:szCs w:val="24"/>
        </w:rPr>
        <w:t>诊断冲突</w:t>
      </w:r>
    </w:p>
    <w:p w14:paraId="5B548F57">
      <w:pPr>
        <w:rPr>
          <w:rFonts w:hint="eastAsia" w:ascii="宋体" w:hAnsi="宋体" w:eastAsia="宋体" w:cs="宋体"/>
          <w:color w:val="auto"/>
          <w:sz w:val="24"/>
          <w:szCs w:val="24"/>
        </w:rPr>
      </w:pPr>
      <w:r>
        <w:rPr>
          <w:rFonts w:hint="eastAsia" w:ascii="宋体" w:hAnsi="宋体" w:eastAsia="宋体" w:cs="宋体"/>
          <w:color w:val="auto"/>
          <w:sz w:val="24"/>
          <w:szCs w:val="24"/>
        </w:rPr>
        <w:t>通过内置的ICD-10知识库、临床诊疗规范等标准，对诊断信息进行逻辑性校验审核，结合本市病种分值库，对疑似诊断冲突情况进行筛查审核，实现对诊断冲突的数据进行监管。</w:t>
      </w:r>
    </w:p>
    <w:p w14:paraId="53F8F0C5">
      <w:pPr>
        <w:pStyle w:val="16"/>
        <w:rPr>
          <w:rFonts w:hint="eastAsia" w:ascii="宋体" w:hAnsi="宋体" w:eastAsia="宋体" w:cs="宋体"/>
          <w:color w:val="auto"/>
          <w:sz w:val="24"/>
          <w:szCs w:val="24"/>
        </w:rPr>
      </w:pPr>
      <w:r>
        <w:rPr>
          <w:rFonts w:hint="eastAsia" w:ascii="宋体" w:hAnsi="宋体" w:eastAsia="宋体" w:cs="宋体"/>
          <w:color w:val="auto"/>
          <w:sz w:val="24"/>
          <w:szCs w:val="24"/>
        </w:rPr>
        <w:t>手术冲突</w:t>
      </w:r>
    </w:p>
    <w:p w14:paraId="60972A5C">
      <w:pPr>
        <w:rPr>
          <w:rFonts w:hint="eastAsia" w:ascii="宋体" w:hAnsi="宋体" w:eastAsia="宋体" w:cs="宋体"/>
          <w:color w:val="auto"/>
          <w:sz w:val="24"/>
          <w:szCs w:val="24"/>
        </w:rPr>
      </w:pPr>
      <w:r>
        <w:rPr>
          <w:rFonts w:hint="eastAsia" w:ascii="宋体" w:hAnsi="宋体" w:eastAsia="宋体" w:cs="宋体"/>
          <w:color w:val="auto"/>
          <w:sz w:val="24"/>
          <w:szCs w:val="24"/>
        </w:rPr>
        <w:t>通过内置的ICD-9-CM-3知识库、临床诊疗规范等标准，对手术信息进行逻辑性校验审核，结合本市病种分值库，对疑似手术冲突情况进行筛查审核，实现对手术冲突的数据进行监管。</w:t>
      </w:r>
    </w:p>
    <w:p w14:paraId="2AFA4F4C">
      <w:pPr>
        <w:pStyle w:val="16"/>
        <w:rPr>
          <w:rFonts w:hint="eastAsia" w:ascii="宋体" w:hAnsi="宋体" w:eastAsia="宋体" w:cs="宋体"/>
          <w:color w:val="auto"/>
          <w:sz w:val="24"/>
          <w:szCs w:val="24"/>
        </w:rPr>
      </w:pPr>
      <w:r>
        <w:rPr>
          <w:rFonts w:hint="eastAsia" w:ascii="宋体" w:hAnsi="宋体" w:eastAsia="宋体" w:cs="宋体"/>
          <w:color w:val="auto"/>
          <w:sz w:val="24"/>
          <w:szCs w:val="24"/>
        </w:rPr>
        <w:t>诊断与手术冲突</w:t>
      </w:r>
    </w:p>
    <w:p w14:paraId="64D619CE">
      <w:pPr>
        <w:rPr>
          <w:rFonts w:hint="eastAsia" w:ascii="宋体" w:hAnsi="宋体" w:eastAsia="宋体" w:cs="宋体"/>
          <w:color w:val="auto"/>
          <w:sz w:val="24"/>
          <w:szCs w:val="24"/>
        </w:rPr>
      </w:pPr>
      <w:r>
        <w:rPr>
          <w:rFonts w:hint="eastAsia" w:ascii="宋体" w:hAnsi="宋体" w:eastAsia="宋体" w:cs="宋体"/>
          <w:color w:val="auto"/>
          <w:sz w:val="24"/>
          <w:szCs w:val="24"/>
        </w:rPr>
        <w:t>通过内置的ICD-10、ICD-9-CM-3知识库、临床诊疗规范等标准，对诊断信息、手术信息进行逻辑性校验审核，结合本市病种分值库，对疑似诊断与手术冲突情况进行筛查审核，实现对诊断与手术冲突的数据进行监管。</w:t>
      </w:r>
    </w:p>
    <w:p w14:paraId="640244E4">
      <w:pPr>
        <w:pStyle w:val="16"/>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编码高套监管</w:t>
      </w:r>
    </w:p>
    <w:p w14:paraId="4F0C0628">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诊断高套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bidi="ar"/>
        </w:rPr>
        <w:t>通过内置的ICD-10知识库、临床诊疗规范等标准，对诊断信息进行逻辑性、合理性、完整性的校验审核，结合本市病种分值库，对疑似诊断高套分值情况进行筛查审核，实现对诊断高套的行为进行监管。</w:t>
      </w:r>
    </w:p>
    <w:p w14:paraId="2B03D463">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手术高套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bidi="ar"/>
        </w:rPr>
        <w:t>通过内置的</w:t>
      </w:r>
      <w:r>
        <w:rPr>
          <w:rFonts w:hint="eastAsia" w:ascii="宋体" w:hAnsi="宋体" w:eastAsia="宋体" w:cs="宋体"/>
          <w:color w:val="auto"/>
          <w:sz w:val="24"/>
          <w:szCs w:val="24"/>
        </w:rPr>
        <w:t>ICD-9-CM-3</w:t>
      </w:r>
      <w:r>
        <w:rPr>
          <w:rFonts w:hint="eastAsia" w:ascii="宋体" w:hAnsi="宋体" w:eastAsia="宋体" w:cs="宋体"/>
          <w:color w:val="auto"/>
          <w:sz w:val="24"/>
          <w:szCs w:val="24"/>
          <w:lang w:bidi="ar"/>
        </w:rPr>
        <w:t>知识库、临床诊疗规范等标准，对手术信息进行逻辑性、合理性、完整性的校验审核，结合本市病种分值库，对疑似手术高套分值情况进行筛查审核，实现对手术高套的行为进行监管。</w:t>
      </w:r>
    </w:p>
    <w:p w14:paraId="244FEBAE">
      <w:pPr>
        <w:pStyle w:val="16"/>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编码低套监管</w:t>
      </w:r>
    </w:p>
    <w:p w14:paraId="0DABFB5A">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诊断低套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bidi="ar"/>
        </w:rPr>
        <w:t>通过内置的ICD-10知识库、临床诊疗规范等标准，对诊断信息进行逻辑性、合理性、完整性的校验审核，结合本市病种分值库，对疑似诊断低套分值情况进行筛查审核，实现对诊断低套的行为进行监管。</w:t>
      </w:r>
    </w:p>
    <w:p w14:paraId="6DC21C4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手术低套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bidi="ar"/>
        </w:rPr>
        <w:t>通过内置的</w:t>
      </w:r>
      <w:r>
        <w:rPr>
          <w:rFonts w:hint="eastAsia" w:ascii="宋体" w:hAnsi="宋体" w:eastAsia="宋体" w:cs="宋体"/>
          <w:color w:val="auto"/>
          <w:sz w:val="24"/>
          <w:szCs w:val="24"/>
        </w:rPr>
        <w:t>ICD-9-CM-3</w:t>
      </w:r>
      <w:r>
        <w:rPr>
          <w:rFonts w:hint="eastAsia" w:ascii="宋体" w:hAnsi="宋体" w:eastAsia="宋体" w:cs="宋体"/>
          <w:color w:val="auto"/>
          <w:sz w:val="24"/>
          <w:szCs w:val="24"/>
          <w:lang w:bidi="ar"/>
        </w:rPr>
        <w:t>知识库、临床诊疗规范等标准，对手术信息进行逻辑性、合理性、完整性的校验审核，结合本市病种分值库，对疑似手术低套分值情况进行筛查审核，实现对手术低套的行为进行监管。</w:t>
      </w:r>
    </w:p>
    <w:p w14:paraId="7EE34B96">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DIP病种监管</w:t>
      </w:r>
      <w:r>
        <w:rPr>
          <w:rFonts w:hint="eastAsia" w:ascii="宋体" w:hAnsi="宋体" w:eastAsia="宋体" w:cs="宋体"/>
          <w:color w:val="auto"/>
          <w:sz w:val="24"/>
          <w:szCs w:val="24"/>
        </w:rPr>
        <w:t>分析</w:t>
      </w:r>
    </w:p>
    <w:p w14:paraId="0084EEF3">
      <w:pPr>
        <w:pStyle w:val="16"/>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违规情况概述</w:t>
      </w:r>
    </w:p>
    <w:p w14:paraId="0440DABD">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支持按DIP病种违规类型进行统计分析，可按时间区间进行查询统计，</w:t>
      </w:r>
      <w:r>
        <w:rPr>
          <w:rFonts w:hint="eastAsia" w:ascii="宋体" w:hAnsi="宋体" w:eastAsia="宋体" w:cs="宋体"/>
          <w:color w:val="auto"/>
          <w:sz w:val="24"/>
          <w:szCs w:val="24"/>
        </w:rPr>
        <w:t>包括</w:t>
      </w:r>
      <w:r>
        <w:rPr>
          <w:rFonts w:hint="eastAsia" w:ascii="宋体" w:hAnsi="宋体" w:eastAsia="宋体" w:cs="宋体"/>
          <w:color w:val="auto"/>
          <w:sz w:val="24"/>
          <w:szCs w:val="24"/>
          <w:lang w:val="en-US" w:eastAsia="zh-CN"/>
        </w:rPr>
        <w:t>违规类型占比、违规科室及占比、违规医生人次、违规金额、涉及患者数等信息。</w:t>
      </w:r>
    </w:p>
    <w:p w14:paraId="2C2B1F88">
      <w:pPr>
        <w:pStyle w:val="16"/>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违规明细分析</w:t>
      </w:r>
    </w:p>
    <w:p w14:paraId="667DBC3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针对每一类型的违规情况，</w:t>
      </w:r>
      <w:r>
        <w:rPr>
          <w:rFonts w:hint="eastAsia" w:ascii="宋体" w:hAnsi="宋体" w:eastAsia="宋体" w:cs="宋体"/>
          <w:color w:val="auto"/>
          <w:sz w:val="24"/>
          <w:szCs w:val="24"/>
          <w:highlight w:val="none"/>
        </w:rPr>
        <w:t>支持</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住院号、患者、住院科室、住院医生、</w:t>
      </w:r>
      <w:r>
        <w:rPr>
          <w:rFonts w:hint="eastAsia" w:ascii="宋体" w:hAnsi="宋体" w:eastAsia="宋体" w:cs="宋体"/>
          <w:color w:val="auto"/>
          <w:sz w:val="24"/>
          <w:szCs w:val="24"/>
          <w:highlight w:val="none"/>
          <w:lang w:val="en-US" w:eastAsia="zh-CN"/>
        </w:rPr>
        <w:t>违规</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病种类型等进行明细数据的下钻分析，</w:t>
      </w:r>
      <w:r>
        <w:rPr>
          <w:rFonts w:hint="eastAsia" w:ascii="宋体" w:hAnsi="宋体" w:eastAsia="宋体" w:cs="宋体"/>
          <w:color w:val="auto"/>
          <w:sz w:val="24"/>
          <w:szCs w:val="24"/>
        </w:rPr>
        <w:t>查询</w:t>
      </w:r>
      <w:r>
        <w:rPr>
          <w:rFonts w:hint="eastAsia" w:ascii="宋体" w:hAnsi="宋体" w:eastAsia="宋体" w:cs="宋体"/>
          <w:color w:val="auto"/>
          <w:sz w:val="24"/>
          <w:szCs w:val="24"/>
          <w:lang w:val="en-US" w:eastAsia="zh-CN"/>
        </w:rPr>
        <w:t>院内的违规</w:t>
      </w:r>
      <w:r>
        <w:rPr>
          <w:rFonts w:hint="eastAsia" w:ascii="宋体" w:hAnsi="宋体" w:eastAsia="宋体" w:cs="宋体"/>
          <w:color w:val="auto"/>
          <w:sz w:val="24"/>
          <w:szCs w:val="24"/>
        </w:rPr>
        <w:t>病例数、涉及的病种、费用情况等，也可</w:t>
      </w:r>
      <w:r>
        <w:rPr>
          <w:rFonts w:hint="eastAsia" w:ascii="宋体" w:hAnsi="宋体" w:eastAsia="宋体" w:cs="宋体"/>
          <w:color w:val="auto"/>
          <w:sz w:val="24"/>
          <w:szCs w:val="24"/>
          <w:lang w:val="en-US" w:eastAsia="zh-CN"/>
        </w:rPr>
        <w:t>选择任意科室</w:t>
      </w:r>
      <w:r>
        <w:rPr>
          <w:rFonts w:hint="eastAsia" w:ascii="宋体" w:hAnsi="宋体" w:eastAsia="宋体" w:cs="宋体"/>
          <w:color w:val="auto"/>
          <w:sz w:val="24"/>
          <w:szCs w:val="24"/>
        </w:rPr>
        <w:t>，查询其</w:t>
      </w:r>
      <w:r>
        <w:rPr>
          <w:rFonts w:hint="eastAsia" w:ascii="宋体" w:hAnsi="宋体" w:eastAsia="宋体" w:cs="宋体"/>
          <w:color w:val="auto"/>
          <w:sz w:val="24"/>
          <w:szCs w:val="24"/>
          <w:lang w:val="en-US" w:eastAsia="zh-CN"/>
        </w:rPr>
        <w:t>违规</w:t>
      </w:r>
      <w:r>
        <w:rPr>
          <w:rFonts w:hint="eastAsia" w:ascii="宋体" w:hAnsi="宋体" w:eastAsia="宋体" w:cs="宋体"/>
          <w:color w:val="auto"/>
          <w:sz w:val="24"/>
          <w:szCs w:val="24"/>
        </w:rPr>
        <w:t>的详细信息，包括具体病例、违规次数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涉及金额</w:t>
      </w:r>
      <w:r>
        <w:rPr>
          <w:rFonts w:hint="eastAsia" w:ascii="宋体" w:hAnsi="宋体" w:eastAsia="宋体" w:cs="宋体"/>
          <w:color w:val="auto"/>
          <w:sz w:val="24"/>
          <w:szCs w:val="24"/>
        </w:rPr>
        <w:t>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highlight w:val="none"/>
          <w:lang w:val="en-US" w:eastAsia="zh-CN"/>
        </w:rPr>
        <w:t>支持查看医保结算清单的详细信息。</w:t>
      </w:r>
    </w:p>
    <w:p w14:paraId="59D0B202">
      <w:pPr>
        <w:pStyle w:val="16"/>
        <w:bidi w:val="0"/>
        <w:rPr>
          <w:rFonts w:hint="eastAsia" w:ascii="宋体" w:hAnsi="宋体" w:eastAsia="宋体" w:cs="宋体"/>
          <w:color w:val="auto"/>
          <w:sz w:val="24"/>
          <w:szCs w:val="24"/>
        </w:rPr>
      </w:pPr>
      <w:r>
        <w:rPr>
          <w:rFonts w:hint="eastAsia" w:ascii="宋体" w:hAnsi="宋体" w:eastAsia="宋体" w:cs="宋体"/>
          <w:color w:val="auto"/>
          <w:sz w:val="24"/>
          <w:szCs w:val="24"/>
        </w:rPr>
        <w:t>多维度展示与查询</w:t>
      </w:r>
    </w:p>
    <w:p w14:paraId="0704E45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支持通过违规类型、科室、医生</w:t>
      </w:r>
      <w:r>
        <w:rPr>
          <w:rFonts w:hint="eastAsia" w:ascii="宋体" w:hAnsi="宋体" w:eastAsia="宋体" w:cs="宋体"/>
          <w:color w:val="auto"/>
          <w:sz w:val="24"/>
          <w:szCs w:val="24"/>
        </w:rPr>
        <w:t>等多查询条件，展示需要进行</w:t>
      </w:r>
      <w:r>
        <w:rPr>
          <w:rFonts w:hint="eastAsia" w:ascii="宋体" w:hAnsi="宋体" w:eastAsia="宋体" w:cs="宋体"/>
          <w:color w:val="auto"/>
          <w:sz w:val="24"/>
          <w:szCs w:val="24"/>
          <w:lang w:val="en-US" w:eastAsia="zh-CN"/>
        </w:rPr>
        <w:t>DIP病种监管</w:t>
      </w:r>
      <w:r>
        <w:rPr>
          <w:rFonts w:hint="eastAsia" w:ascii="宋体" w:hAnsi="宋体" w:eastAsia="宋体" w:cs="宋体"/>
          <w:color w:val="auto"/>
          <w:sz w:val="24"/>
          <w:szCs w:val="24"/>
        </w:rPr>
        <w:t>审核的医保结算清单信息，为</w:t>
      </w:r>
      <w:r>
        <w:rPr>
          <w:rFonts w:hint="eastAsia" w:ascii="宋体" w:hAnsi="宋体" w:eastAsia="宋体" w:cs="宋体"/>
          <w:color w:val="auto"/>
          <w:sz w:val="24"/>
          <w:szCs w:val="24"/>
          <w:lang w:val="en-US" w:eastAsia="zh-CN"/>
        </w:rPr>
        <w:t>院内医保监管</w:t>
      </w:r>
      <w:r>
        <w:rPr>
          <w:rFonts w:hint="eastAsia" w:ascii="宋体" w:hAnsi="宋体" w:eastAsia="宋体" w:cs="宋体"/>
          <w:color w:val="auto"/>
          <w:sz w:val="24"/>
          <w:szCs w:val="24"/>
        </w:rPr>
        <w:t>人员提供全面、直观的数据支持，方便其了解</w:t>
      </w:r>
      <w:r>
        <w:rPr>
          <w:rFonts w:hint="eastAsia" w:ascii="宋体" w:hAnsi="宋体" w:eastAsia="宋体" w:cs="宋体"/>
          <w:color w:val="auto"/>
          <w:sz w:val="24"/>
          <w:szCs w:val="24"/>
          <w:lang w:val="en-US" w:eastAsia="zh-CN"/>
        </w:rPr>
        <w:t>各类违规</w:t>
      </w:r>
      <w:r>
        <w:rPr>
          <w:rFonts w:hint="eastAsia" w:ascii="宋体" w:hAnsi="宋体" w:eastAsia="宋体" w:cs="宋体"/>
          <w:color w:val="auto"/>
          <w:sz w:val="24"/>
          <w:szCs w:val="24"/>
        </w:rPr>
        <w:t>的整体情况和分布特征。通过对已发生的数据进行分类和分析，帮助发现和分析异常情况和违规行为，为后续的审核和处理提供依据。</w:t>
      </w:r>
    </w:p>
    <w:p w14:paraId="102C21AF">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rPr>
        <w:t>临床监管管理</w:t>
      </w:r>
    </w:p>
    <w:p w14:paraId="5C5FE34A">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rPr>
        <w:t>从不同维度查询当前科室违规明细。</w:t>
      </w:r>
    </w:p>
    <w:p w14:paraId="6DCF2561">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rPr>
        <w:t>针对有歧义的违规行为进行申诉。</w:t>
      </w:r>
    </w:p>
    <w:p w14:paraId="1C6C4547">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rPr>
        <w:t>医保违规反馈</w:t>
      </w:r>
    </w:p>
    <w:p w14:paraId="49966DB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支持对医保违规情况进行及时反馈；</w:t>
      </w: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rPr>
        <w:t>导入</w:t>
      </w:r>
      <w:r>
        <w:rPr>
          <w:rFonts w:hint="eastAsia" w:ascii="宋体" w:hAnsi="宋体" w:eastAsia="宋体" w:cs="宋体"/>
          <w:color w:val="auto"/>
          <w:sz w:val="24"/>
          <w:szCs w:val="24"/>
          <w:lang w:val="en-US" w:eastAsia="zh-CN"/>
        </w:rPr>
        <w:t>和查询</w:t>
      </w:r>
      <w:r>
        <w:rPr>
          <w:rFonts w:hint="eastAsia" w:ascii="宋体" w:hAnsi="宋体" w:eastAsia="宋体" w:cs="宋体"/>
          <w:color w:val="auto"/>
          <w:sz w:val="24"/>
          <w:szCs w:val="24"/>
        </w:rPr>
        <w:t>医保局下发的医保违规列表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支持将</w:t>
      </w:r>
      <w:r>
        <w:rPr>
          <w:rFonts w:hint="eastAsia" w:ascii="宋体" w:hAnsi="宋体" w:eastAsia="宋体" w:cs="宋体"/>
          <w:color w:val="auto"/>
          <w:sz w:val="24"/>
          <w:szCs w:val="24"/>
          <w:highlight w:val="none"/>
        </w:rPr>
        <w:t>医保局的违规明细分发给对应的科室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针对每条违规明细进行申诉反馈，并提交给医保科审核。</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对各临床科室的申诉</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rPr>
        <w:t>进行内容审核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以及</w:t>
      </w:r>
      <w:r>
        <w:rPr>
          <w:rFonts w:hint="eastAsia" w:ascii="宋体" w:hAnsi="宋体" w:eastAsia="宋体" w:cs="宋体"/>
          <w:color w:val="auto"/>
          <w:sz w:val="24"/>
          <w:szCs w:val="24"/>
          <w:highlight w:val="none"/>
        </w:rPr>
        <w:t>导出已审核的医保违规申诉结果</w:t>
      </w:r>
      <w:r>
        <w:rPr>
          <w:rFonts w:hint="eastAsia" w:ascii="宋体" w:hAnsi="宋体" w:eastAsia="宋体" w:cs="宋体"/>
          <w:color w:val="auto"/>
          <w:sz w:val="24"/>
          <w:szCs w:val="24"/>
          <w:highlight w:val="none"/>
          <w:lang w:eastAsia="zh-CN"/>
        </w:rPr>
        <w:t>。</w:t>
      </w:r>
    </w:p>
    <w:p w14:paraId="347FD343">
      <w:pPr>
        <w:pStyle w:val="15"/>
        <w:bidi w:val="0"/>
        <w:rPr>
          <w:rFonts w:hint="eastAsia" w:ascii="宋体" w:hAnsi="宋体" w:eastAsia="宋体" w:cs="宋体"/>
          <w:color w:val="auto"/>
          <w:sz w:val="24"/>
          <w:szCs w:val="24"/>
        </w:rPr>
      </w:pPr>
      <w:r>
        <w:rPr>
          <w:rFonts w:hint="eastAsia" w:ascii="宋体" w:hAnsi="宋体" w:eastAsia="宋体" w:cs="宋体"/>
          <w:color w:val="auto"/>
          <w:sz w:val="24"/>
          <w:szCs w:val="24"/>
        </w:rPr>
        <w:t>知识库管理</w:t>
      </w:r>
    </w:p>
    <w:p w14:paraId="34444BBC">
      <w:pPr>
        <w:pStyle w:val="16"/>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病种监管知识库</w:t>
      </w:r>
    </w:p>
    <w:p w14:paraId="0D492B1B">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支持对监管规则定制与更新，</w:t>
      </w:r>
      <w:r>
        <w:rPr>
          <w:rFonts w:hint="eastAsia" w:ascii="宋体" w:hAnsi="宋体" w:eastAsia="宋体" w:cs="宋体"/>
          <w:color w:val="auto"/>
          <w:sz w:val="24"/>
          <w:szCs w:val="24"/>
        </w:rPr>
        <w:t>结合医保政策、临床诊疗规范以及本地实际情况，制定</w:t>
      </w:r>
      <w:r>
        <w:rPr>
          <w:rFonts w:hint="eastAsia" w:ascii="宋体" w:hAnsi="宋体" w:eastAsia="宋体" w:cs="宋体"/>
          <w:color w:val="auto"/>
          <w:sz w:val="24"/>
          <w:szCs w:val="24"/>
          <w:lang w:val="en-US" w:eastAsia="zh-CN"/>
        </w:rPr>
        <w:t>DIP病种</w:t>
      </w:r>
      <w:r>
        <w:rPr>
          <w:rFonts w:hint="eastAsia" w:ascii="宋体" w:hAnsi="宋体" w:eastAsia="宋体" w:cs="宋体"/>
          <w:color w:val="auto"/>
          <w:sz w:val="24"/>
          <w:szCs w:val="24"/>
        </w:rPr>
        <w:t>监管规则和标准，明确</w:t>
      </w:r>
      <w:r>
        <w:rPr>
          <w:rFonts w:hint="eastAsia" w:ascii="宋体" w:hAnsi="宋体" w:eastAsia="宋体" w:cs="宋体"/>
          <w:color w:val="auto"/>
          <w:sz w:val="24"/>
          <w:szCs w:val="24"/>
          <w:lang w:val="en-US" w:eastAsia="zh-CN"/>
        </w:rPr>
        <w:t>监管规则</w:t>
      </w:r>
      <w:r>
        <w:rPr>
          <w:rFonts w:hint="eastAsia" w:ascii="宋体" w:hAnsi="宋体" w:eastAsia="宋体" w:cs="宋体"/>
          <w:color w:val="auto"/>
          <w:sz w:val="24"/>
          <w:szCs w:val="24"/>
        </w:rPr>
        <w:t>的定义、判定依据、监管重点等。同时，建立规则库的动态更新机制，根据医保政策的调整、临床诊疗技术的发展以及监管实践的需要，及时对监管规则进行优化和完善，确保监管的科学性和有效性。</w:t>
      </w:r>
    </w:p>
    <w:p w14:paraId="368781F6">
      <w:pPr>
        <w:pStyle w:val="16"/>
        <w:bidi w:val="0"/>
        <w:rPr>
          <w:rFonts w:hint="eastAsia" w:ascii="宋体" w:hAnsi="宋体" w:eastAsia="宋体" w:cs="宋体"/>
          <w:color w:val="auto"/>
          <w:sz w:val="24"/>
          <w:szCs w:val="24"/>
        </w:rPr>
      </w:pPr>
      <w:r>
        <w:rPr>
          <w:rFonts w:hint="eastAsia" w:ascii="宋体" w:hAnsi="宋体" w:eastAsia="宋体" w:cs="宋体"/>
          <w:color w:val="auto"/>
          <w:sz w:val="24"/>
          <w:szCs w:val="24"/>
        </w:rPr>
        <w:t>药品知识库</w:t>
      </w:r>
    </w:p>
    <w:p w14:paraId="3CB7BCB8">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rPr>
        <w:t>维护国家及省发布的药品分类与代码。药品知识库</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省、</w:t>
      </w:r>
      <w:r>
        <w:rPr>
          <w:rFonts w:hint="eastAsia" w:ascii="宋体" w:hAnsi="宋体" w:eastAsia="宋体" w:cs="宋体"/>
          <w:color w:val="auto"/>
          <w:sz w:val="24"/>
          <w:szCs w:val="24"/>
        </w:rPr>
        <w:t>市医保局每次更新的《医保药品目录》进行维护，包括药品名称、适应症状、不良反应、用法用量、禁忌、注意事项等信息。</w:t>
      </w:r>
    </w:p>
    <w:p w14:paraId="230FC479">
      <w:pPr>
        <w:pStyle w:val="16"/>
        <w:bidi w:val="0"/>
        <w:rPr>
          <w:rFonts w:hint="eastAsia" w:ascii="宋体" w:hAnsi="宋体" w:eastAsia="宋体" w:cs="宋体"/>
          <w:color w:val="auto"/>
          <w:sz w:val="24"/>
          <w:szCs w:val="24"/>
        </w:rPr>
      </w:pPr>
      <w:r>
        <w:rPr>
          <w:rFonts w:hint="eastAsia" w:ascii="宋体" w:hAnsi="宋体" w:eastAsia="宋体" w:cs="宋体"/>
          <w:color w:val="auto"/>
          <w:sz w:val="24"/>
          <w:szCs w:val="24"/>
        </w:rPr>
        <w:t>医用耗材知识库</w:t>
      </w:r>
    </w:p>
    <w:p w14:paraId="1F42966D">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rPr>
        <w:t>维护国家及省发布的医用耗材分类与代码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具体包括27位医用耗材代码、除外名称、项目编码、项目名称等内容。</w:t>
      </w:r>
    </w:p>
    <w:p w14:paraId="26296704">
      <w:pPr>
        <w:ind w:left="0" w:leftChars="0" w:firstLine="0" w:firstLineChars="0"/>
        <w:rPr>
          <w:rFonts w:hint="eastAsia"/>
          <w:color w:val="auto"/>
        </w:rPr>
      </w:pPr>
    </w:p>
    <w:p w14:paraId="4FBCCC15">
      <w:pPr>
        <w:pStyle w:val="3"/>
        <w:ind w:left="0" w:leftChars="0" w:firstLine="0" w:firstLineChars="0"/>
        <w:jc w:val="center"/>
        <w:rPr>
          <w:rFonts w:hint="default"/>
          <w:kern w:val="0"/>
          <w:lang w:val="en-US" w:eastAsia="zh-CN"/>
        </w:rPr>
      </w:pPr>
      <w:r>
        <w:rPr>
          <w:rFonts w:hint="eastAsia"/>
          <w:kern w:val="0"/>
          <w:lang w:val="en-US" w:eastAsia="zh-CN"/>
        </w:rPr>
        <w:t>三、报价清单</w:t>
      </w:r>
    </w:p>
    <w:tbl>
      <w:tblPr>
        <w:tblStyle w:val="9"/>
        <w:tblW w:w="9109"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200"/>
        <w:gridCol w:w="960"/>
        <w:gridCol w:w="1425"/>
        <w:gridCol w:w="1665"/>
      </w:tblGrid>
      <w:tr w14:paraId="679B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9" w:type="dxa"/>
            <w:noWrap w:val="0"/>
            <w:vAlign w:val="center"/>
          </w:tcPr>
          <w:p w14:paraId="3A3BE517">
            <w:pPr>
              <w:bidi w:val="0"/>
              <w:spacing w:line="36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200" w:type="dxa"/>
            <w:noWrap w:val="0"/>
            <w:vAlign w:val="center"/>
          </w:tcPr>
          <w:p w14:paraId="4F5C2843">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960" w:type="dxa"/>
            <w:noWrap w:val="0"/>
            <w:vAlign w:val="center"/>
          </w:tcPr>
          <w:p w14:paraId="0972E802">
            <w:pPr>
              <w:bidi w:val="0"/>
              <w:spacing w:line="36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25" w:type="dxa"/>
            <w:noWrap w:val="0"/>
            <w:vAlign w:val="center"/>
          </w:tcPr>
          <w:p w14:paraId="6242FF27">
            <w:pPr>
              <w:bidi w:val="0"/>
              <w:spacing w:line="36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单价（元）</w:t>
            </w:r>
          </w:p>
        </w:tc>
        <w:tc>
          <w:tcPr>
            <w:tcW w:w="1665" w:type="dxa"/>
            <w:noWrap w:val="0"/>
            <w:vAlign w:val="center"/>
          </w:tcPr>
          <w:p w14:paraId="567CBC88">
            <w:pPr>
              <w:bidi w:val="0"/>
              <w:spacing w:line="36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总价（元）</w:t>
            </w:r>
          </w:p>
        </w:tc>
      </w:tr>
      <w:tr w14:paraId="2E9B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59" w:type="dxa"/>
            <w:noWrap w:val="0"/>
            <w:vAlign w:val="center"/>
          </w:tcPr>
          <w:p w14:paraId="01820C02">
            <w:pPr>
              <w:bidi w:val="0"/>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200" w:type="dxa"/>
            <w:noWrap w:val="0"/>
            <w:vAlign w:val="center"/>
          </w:tcPr>
          <w:p w14:paraId="4CA27404">
            <w:pPr>
              <w:bidi w:val="0"/>
              <w:spacing w:line="360" w:lineRule="auto"/>
              <w:jc w:val="center"/>
              <w:rPr>
                <w:rFonts w:hint="eastAsia" w:ascii="宋体" w:hAnsi="宋体" w:eastAsia="宋体" w:cs="宋体"/>
                <w:sz w:val="24"/>
                <w:szCs w:val="24"/>
              </w:rPr>
            </w:pPr>
            <w:r>
              <w:rPr>
                <w:rFonts w:hint="eastAsia" w:ascii="Arial" w:hAnsi="Arial" w:cs="Times New Roman"/>
                <w:kern w:val="0"/>
                <w:lang w:val="en-US" w:eastAsia="zh-CN"/>
              </w:rPr>
              <w:t>医院精细化运营管理系统</w:t>
            </w:r>
          </w:p>
        </w:tc>
        <w:tc>
          <w:tcPr>
            <w:tcW w:w="960" w:type="dxa"/>
            <w:noWrap w:val="0"/>
            <w:vAlign w:val="center"/>
          </w:tcPr>
          <w:p w14:paraId="76096C4D">
            <w:pPr>
              <w:bidi w:val="0"/>
              <w:spacing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1425" w:type="dxa"/>
            <w:noWrap w:val="0"/>
            <w:vAlign w:val="center"/>
          </w:tcPr>
          <w:p w14:paraId="53F8B084">
            <w:pPr>
              <w:bidi w:val="0"/>
              <w:spacing w:line="360" w:lineRule="auto"/>
              <w:jc w:val="center"/>
              <w:rPr>
                <w:rFonts w:hint="eastAsia" w:ascii="宋体" w:hAnsi="宋体" w:eastAsia="宋体" w:cs="宋体"/>
                <w:sz w:val="24"/>
                <w:szCs w:val="24"/>
              </w:rPr>
            </w:pPr>
          </w:p>
        </w:tc>
        <w:tc>
          <w:tcPr>
            <w:tcW w:w="1665" w:type="dxa"/>
            <w:noWrap w:val="0"/>
            <w:vAlign w:val="center"/>
          </w:tcPr>
          <w:p w14:paraId="66F5F0CB">
            <w:pPr>
              <w:bidi w:val="0"/>
              <w:spacing w:line="360" w:lineRule="auto"/>
              <w:jc w:val="center"/>
              <w:rPr>
                <w:rFonts w:hint="eastAsia" w:ascii="宋体" w:hAnsi="宋体" w:eastAsia="宋体" w:cs="宋体"/>
                <w:sz w:val="24"/>
                <w:szCs w:val="24"/>
              </w:rPr>
            </w:pPr>
          </w:p>
        </w:tc>
      </w:tr>
      <w:tr w14:paraId="07AA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59" w:type="dxa"/>
            <w:noWrap w:val="0"/>
            <w:vAlign w:val="center"/>
          </w:tcPr>
          <w:p w14:paraId="4574D381">
            <w:pPr>
              <w:bidi w:val="0"/>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200" w:type="dxa"/>
            <w:noWrap w:val="0"/>
            <w:vAlign w:val="center"/>
          </w:tcPr>
          <w:p w14:paraId="543D2254">
            <w:pPr>
              <w:bidi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接口费</w:t>
            </w:r>
          </w:p>
        </w:tc>
        <w:tc>
          <w:tcPr>
            <w:tcW w:w="960" w:type="dxa"/>
            <w:noWrap w:val="0"/>
            <w:vAlign w:val="center"/>
          </w:tcPr>
          <w:p w14:paraId="1A91D1B9">
            <w:pPr>
              <w:bidi w:val="0"/>
              <w:spacing w:line="360" w:lineRule="auto"/>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1套</w:t>
            </w:r>
          </w:p>
        </w:tc>
        <w:tc>
          <w:tcPr>
            <w:tcW w:w="1425" w:type="dxa"/>
            <w:noWrap w:val="0"/>
            <w:vAlign w:val="center"/>
          </w:tcPr>
          <w:p w14:paraId="64D67706">
            <w:pPr>
              <w:bidi w:val="0"/>
              <w:spacing w:line="360" w:lineRule="auto"/>
              <w:jc w:val="center"/>
              <w:rPr>
                <w:rFonts w:hint="eastAsia" w:ascii="宋体" w:hAnsi="宋体" w:eastAsia="宋体" w:cs="宋体"/>
                <w:sz w:val="24"/>
                <w:szCs w:val="24"/>
              </w:rPr>
            </w:pPr>
          </w:p>
        </w:tc>
        <w:tc>
          <w:tcPr>
            <w:tcW w:w="1665" w:type="dxa"/>
            <w:noWrap w:val="0"/>
            <w:vAlign w:val="center"/>
          </w:tcPr>
          <w:p w14:paraId="05F95302">
            <w:pPr>
              <w:bidi w:val="0"/>
              <w:spacing w:line="360" w:lineRule="auto"/>
              <w:jc w:val="center"/>
              <w:rPr>
                <w:rFonts w:hint="eastAsia" w:ascii="宋体" w:hAnsi="宋体" w:eastAsia="宋体" w:cs="宋体"/>
                <w:sz w:val="24"/>
                <w:szCs w:val="24"/>
              </w:rPr>
            </w:pPr>
          </w:p>
        </w:tc>
      </w:tr>
      <w:tr w14:paraId="6725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59" w:type="dxa"/>
            <w:noWrap w:val="0"/>
            <w:vAlign w:val="center"/>
          </w:tcPr>
          <w:p w14:paraId="450D3EB0">
            <w:pPr>
              <w:bidi w:val="0"/>
              <w:spacing w:line="360" w:lineRule="auto"/>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4200" w:type="dxa"/>
            <w:noWrap w:val="0"/>
            <w:vAlign w:val="center"/>
          </w:tcPr>
          <w:p w14:paraId="62EAC73E">
            <w:pPr>
              <w:bidi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免费维保期限</w:t>
            </w:r>
          </w:p>
        </w:tc>
        <w:tc>
          <w:tcPr>
            <w:tcW w:w="4050" w:type="dxa"/>
            <w:gridSpan w:val="3"/>
            <w:noWrap w:val="0"/>
            <w:vAlign w:val="center"/>
          </w:tcPr>
          <w:p w14:paraId="6781F514">
            <w:pPr>
              <w:bidi w:val="0"/>
              <w:spacing w:line="360" w:lineRule="auto"/>
              <w:jc w:val="center"/>
              <w:rPr>
                <w:rFonts w:hint="eastAsia" w:ascii="宋体" w:hAnsi="宋体" w:eastAsia="宋体" w:cs="宋体"/>
                <w:sz w:val="24"/>
                <w:szCs w:val="24"/>
              </w:rPr>
            </w:pPr>
          </w:p>
        </w:tc>
      </w:tr>
      <w:tr w14:paraId="34D5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109" w:type="dxa"/>
            <w:gridSpan w:val="5"/>
            <w:noWrap w:val="0"/>
            <w:vAlign w:val="center"/>
          </w:tcPr>
          <w:p w14:paraId="501D9B75">
            <w:pPr>
              <w:bidi w:val="0"/>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val="en-US" w:eastAsia="zh-CN"/>
              </w:rPr>
              <w:t>合计：</w:t>
            </w:r>
            <w:r>
              <w:rPr>
                <w:rFonts w:hint="eastAsia" w:ascii="宋体" w:hAnsi="宋体" w:eastAsia="宋体" w:cs="宋体"/>
                <w:sz w:val="24"/>
                <w:szCs w:val="24"/>
                <w:lang w:val="en-US" w:eastAsia="zh-CN"/>
              </w:rPr>
              <w:t xml:space="preserve">                                              （元）</w:t>
            </w:r>
          </w:p>
        </w:tc>
      </w:tr>
    </w:tbl>
    <w:p w14:paraId="77C30E8F">
      <w:pPr>
        <w:pStyle w:val="3"/>
        <w:ind w:left="0" w:leftChars="0" w:firstLine="0" w:firstLineChars="0"/>
        <w:jc w:val="center"/>
        <w:rPr>
          <w:rFonts w:hint="default"/>
          <w:kern w:val="0"/>
          <w:lang w:val="en-US" w:eastAsia="zh-CN"/>
        </w:rPr>
      </w:pPr>
      <w:r>
        <w:rPr>
          <w:rFonts w:hint="eastAsia"/>
          <w:kern w:val="0"/>
          <w:lang w:val="en-US" w:eastAsia="zh-CN"/>
        </w:rPr>
        <w:t>四、咨询文件要求</w:t>
      </w:r>
    </w:p>
    <w:p w14:paraId="68A2CCE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宋体" w:hAnsi="宋体" w:cs="宋体"/>
          <w:b/>
          <w:bCs/>
          <w:kern w:val="0"/>
          <w:sz w:val="28"/>
          <w:szCs w:val="28"/>
          <w:lang w:val="en-US" w:eastAsia="zh-CN"/>
        </w:rPr>
      </w:pPr>
      <w:r>
        <w:rPr>
          <w:rStyle w:val="11"/>
          <w:rFonts w:ascii="仿宋" w:hAnsi="仿宋" w:eastAsia="仿宋" w:cs="仿宋"/>
          <w:i w:val="0"/>
          <w:iCs w:val="0"/>
          <w:caps w:val="0"/>
          <w:color w:val="333333"/>
          <w:spacing w:val="0"/>
          <w:sz w:val="31"/>
          <w:szCs w:val="31"/>
        </w:rPr>
        <w:t>文件应包含项目建设方案、产品型号及报价表</w:t>
      </w:r>
      <w:r>
        <w:rPr>
          <w:rStyle w:val="11"/>
          <w:rFonts w:hint="eastAsia" w:ascii="仿宋" w:hAnsi="仿宋" w:eastAsia="仿宋" w:cs="仿宋"/>
          <w:i w:val="0"/>
          <w:iCs w:val="0"/>
          <w:caps w:val="0"/>
          <w:color w:val="333333"/>
          <w:spacing w:val="0"/>
          <w:sz w:val="31"/>
          <w:szCs w:val="31"/>
        </w:rPr>
        <w:t>(单价、总价及总计)（需加盖公章）、有关资质证明材料、供货商详细地址及电话等。</w:t>
      </w:r>
      <w:r>
        <w:rPr>
          <w:rFonts w:hint="eastAsia" w:ascii="仿宋" w:hAnsi="仿宋" w:eastAsia="仿宋" w:cs="仿宋"/>
          <w:i w:val="0"/>
          <w:iCs w:val="0"/>
          <w:caps w:val="0"/>
          <w:color w:val="333333"/>
          <w:spacing w:val="0"/>
          <w:sz w:val="31"/>
          <w:szCs w:val="31"/>
        </w:rPr>
        <w:t>咨询文件胶装成册一式</w:t>
      </w:r>
      <w:r>
        <w:rPr>
          <w:rFonts w:hint="eastAsia" w:ascii="仿宋" w:hAnsi="仿宋" w:eastAsia="仿宋" w:cs="仿宋"/>
          <w:i w:val="0"/>
          <w:iCs w:val="0"/>
          <w:caps w:val="0"/>
          <w:color w:val="333333"/>
          <w:spacing w:val="0"/>
          <w:sz w:val="31"/>
          <w:szCs w:val="31"/>
          <w:lang w:val="en-US" w:eastAsia="zh-CN"/>
        </w:rPr>
        <w:t>叁</w:t>
      </w:r>
      <w:r>
        <w:rPr>
          <w:rFonts w:hint="eastAsia" w:ascii="仿宋" w:hAnsi="仿宋" w:eastAsia="仿宋" w:cs="仿宋"/>
          <w:i w:val="0"/>
          <w:iCs w:val="0"/>
          <w:caps w:val="0"/>
          <w:color w:val="333333"/>
          <w:spacing w:val="0"/>
          <w:sz w:val="31"/>
          <w:szCs w:val="31"/>
        </w:rPr>
        <w:t>份</w:t>
      </w:r>
      <w:r>
        <w:rPr>
          <w:rFonts w:hint="eastAsia" w:ascii="仿宋" w:hAnsi="仿宋" w:eastAsia="仿宋" w:cs="仿宋"/>
          <w:i w:val="0"/>
          <w:iCs w:val="0"/>
          <w:caps w:val="0"/>
          <w:color w:val="333333"/>
          <w:spacing w:val="0"/>
          <w:sz w:val="31"/>
          <w:szCs w:val="31"/>
          <w:lang w:eastAsia="zh-CN"/>
        </w:rPr>
        <w:t>，</w:t>
      </w:r>
      <w:r>
        <w:rPr>
          <w:rFonts w:hint="eastAsia" w:ascii="仿宋" w:hAnsi="仿宋" w:eastAsia="仿宋" w:cs="仿宋"/>
          <w:i w:val="0"/>
          <w:iCs w:val="0"/>
          <w:caps w:val="0"/>
          <w:color w:val="333333"/>
          <w:spacing w:val="0"/>
          <w:sz w:val="31"/>
          <w:szCs w:val="31"/>
          <w:lang w:val="en-US" w:eastAsia="zh-CN"/>
        </w:rPr>
        <w:t>一正二副</w:t>
      </w:r>
      <w:r>
        <w:rPr>
          <w:rFonts w:hint="eastAsia" w:ascii="仿宋" w:hAnsi="仿宋" w:eastAsia="仿宋" w:cs="仿宋"/>
          <w:i w:val="0"/>
          <w:iCs w:val="0"/>
          <w:caps w:val="0"/>
          <w:color w:val="333333"/>
          <w:spacing w:val="0"/>
          <w:sz w:val="31"/>
          <w:szCs w:val="31"/>
        </w:rPr>
        <w:t>。报价中包含运杂、装卸、包装、保险、税费、售后服务等以及国家规定的各项费用等一切费用。</w:t>
      </w:r>
    </w:p>
    <w:p w14:paraId="088D71C8">
      <w:pPr>
        <w:pStyle w:val="3"/>
        <w:ind w:left="0" w:leftChars="0" w:firstLine="0" w:firstLineChars="0"/>
        <w:jc w:val="center"/>
        <w:rPr>
          <w:rFonts w:hint="eastAsia"/>
          <w:kern w:val="0"/>
          <w:lang w:val="en-US" w:eastAsia="zh-CN"/>
        </w:rPr>
      </w:pPr>
      <w:r>
        <w:rPr>
          <w:rFonts w:hint="eastAsia"/>
          <w:kern w:val="0"/>
          <w:lang w:val="en-US" w:eastAsia="zh-CN"/>
        </w:rPr>
        <w:t>五、法定代表人授权书（非法人代表参与投标时提供）</w:t>
      </w:r>
    </w:p>
    <w:p w14:paraId="04B918C6"/>
    <w:p w14:paraId="560A8399">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14:paraId="0939D53A">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14:paraId="7910C2D7">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48C704AE">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14:paraId="58869178">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615F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14:paraId="3B1A7389">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4B3C63D0">
            <w:pPr>
              <w:widowControl/>
              <w:spacing w:line="360" w:lineRule="auto"/>
              <w:rPr>
                <w:rFonts w:ascii="宋体" w:hAnsi="宋体" w:cs="宋体"/>
                <w:color w:val="000000"/>
                <w:kern w:val="0"/>
                <w:sz w:val="27"/>
                <w:szCs w:val="27"/>
              </w:rPr>
            </w:pPr>
          </w:p>
          <w:p w14:paraId="7C162BB6">
            <w:pPr>
              <w:widowControl/>
              <w:spacing w:line="360" w:lineRule="auto"/>
              <w:rPr>
                <w:rFonts w:ascii="宋体" w:hAnsi="宋体" w:cs="宋体"/>
                <w:color w:val="000000"/>
                <w:kern w:val="0"/>
                <w:sz w:val="27"/>
                <w:szCs w:val="27"/>
              </w:rPr>
            </w:pPr>
          </w:p>
          <w:p w14:paraId="2628C876">
            <w:pPr>
              <w:widowControl/>
              <w:spacing w:line="360" w:lineRule="auto"/>
              <w:rPr>
                <w:rFonts w:ascii="宋体" w:hAnsi="宋体" w:cs="宋体"/>
                <w:color w:val="000000"/>
                <w:kern w:val="0"/>
                <w:sz w:val="27"/>
                <w:szCs w:val="27"/>
              </w:rPr>
            </w:pPr>
          </w:p>
          <w:p w14:paraId="0E63A6C9">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04421A45">
            <w:pPr>
              <w:widowControl/>
              <w:spacing w:line="360" w:lineRule="auto"/>
              <w:rPr>
                <w:rFonts w:ascii="宋体" w:hAnsi="宋体" w:cs="宋体"/>
                <w:b/>
                <w:color w:val="000000"/>
                <w:kern w:val="0"/>
                <w:sz w:val="27"/>
                <w:szCs w:val="27"/>
              </w:rPr>
            </w:pPr>
          </w:p>
          <w:p w14:paraId="3685BEBF">
            <w:pPr>
              <w:widowControl/>
              <w:spacing w:line="360" w:lineRule="auto"/>
              <w:rPr>
                <w:rFonts w:ascii="宋体" w:hAnsi="宋体" w:cs="宋体"/>
                <w:b/>
                <w:color w:val="000000"/>
                <w:kern w:val="0"/>
                <w:sz w:val="27"/>
                <w:szCs w:val="27"/>
              </w:rPr>
            </w:pPr>
          </w:p>
          <w:p w14:paraId="036D1B7A">
            <w:pPr>
              <w:widowControl/>
              <w:spacing w:line="360" w:lineRule="auto"/>
              <w:rPr>
                <w:rFonts w:ascii="宋体" w:hAnsi="宋体" w:cs="宋体"/>
                <w:b/>
                <w:color w:val="000000"/>
                <w:kern w:val="0"/>
                <w:sz w:val="27"/>
                <w:szCs w:val="27"/>
              </w:rPr>
            </w:pPr>
          </w:p>
          <w:p w14:paraId="61C80E1E">
            <w:pPr>
              <w:widowControl/>
              <w:spacing w:line="360" w:lineRule="auto"/>
              <w:rPr>
                <w:rFonts w:ascii="宋体" w:hAnsi="宋体" w:cs="宋体"/>
                <w:b/>
                <w:color w:val="000000"/>
                <w:kern w:val="0"/>
                <w:sz w:val="27"/>
                <w:szCs w:val="27"/>
              </w:rPr>
            </w:pPr>
          </w:p>
        </w:tc>
      </w:tr>
    </w:tbl>
    <w:p w14:paraId="4FE6CF2F">
      <w:pPr>
        <w:pStyle w:val="3"/>
        <w:ind w:left="0" w:leftChars="0" w:firstLine="0" w:firstLineChars="0"/>
        <w:jc w:val="center"/>
        <w:rPr>
          <w:rFonts w:hint="eastAsia"/>
          <w:kern w:val="0"/>
          <w:lang w:val="en-US" w:eastAsia="zh-CN"/>
        </w:rPr>
      </w:pPr>
      <w:r>
        <w:rPr>
          <w:rFonts w:hint="eastAsia"/>
          <w:kern w:val="0"/>
          <w:lang w:val="en-US" w:eastAsia="zh-CN"/>
        </w:rPr>
        <w:t>六、响应供应商关于无重大违法记录书面声明函</w:t>
      </w:r>
    </w:p>
    <w:p w14:paraId="4FCDF34B">
      <w:pPr>
        <w:spacing w:line="480" w:lineRule="auto"/>
        <w:rPr>
          <w:rFonts w:ascii="宋体" w:hAnsi="宋体"/>
          <w:color w:val="000000"/>
          <w:sz w:val="27"/>
          <w:szCs w:val="27"/>
        </w:rPr>
      </w:pPr>
      <w:r>
        <w:rPr>
          <w:rFonts w:hint="eastAsia" w:ascii="宋体" w:hAnsi="宋体"/>
          <w:color w:val="000000"/>
          <w:sz w:val="27"/>
          <w:szCs w:val="27"/>
        </w:rPr>
        <w:t>致：赣州市妇幼保健院</w:t>
      </w:r>
    </w:p>
    <w:p w14:paraId="7F01F0DA">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14:paraId="23C6F5D7">
      <w:pPr>
        <w:spacing w:line="480" w:lineRule="auto"/>
        <w:ind w:left="540"/>
        <w:rPr>
          <w:rFonts w:ascii="宋体" w:hAnsi="宋体"/>
          <w:color w:val="000000"/>
          <w:sz w:val="27"/>
          <w:szCs w:val="27"/>
        </w:rPr>
      </w:pPr>
      <w:r>
        <w:rPr>
          <w:rFonts w:hint="eastAsia" w:ascii="宋体" w:hAnsi="宋体"/>
          <w:color w:val="000000"/>
          <w:sz w:val="27"/>
          <w:szCs w:val="27"/>
        </w:rPr>
        <w:t>特此声明。</w:t>
      </w:r>
    </w:p>
    <w:p w14:paraId="1294FAF6">
      <w:pPr>
        <w:spacing w:line="480" w:lineRule="auto"/>
        <w:ind w:left="540"/>
        <w:rPr>
          <w:rFonts w:ascii="宋体" w:hAnsi="宋体"/>
          <w:color w:val="000000"/>
          <w:sz w:val="27"/>
          <w:szCs w:val="27"/>
        </w:rPr>
      </w:pPr>
    </w:p>
    <w:p w14:paraId="07C9D14F">
      <w:pPr>
        <w:spacing w:line="480" w:lineRule="auto"/>
        <w:ind w:left="540"/>
        <w:rPr>
          <w:rFonts w:ascii="宋体" w:hAnsi="宋体"/>
          <w:color w:val="000000"/>
          <w:sz w:val="27"/>
          <w:szCs w:val="27"/>
        </w:rPr>
      </w:pPr>
    </w:p>
    <w:p w14:paraId="0FF780B8">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14:paraId="4753A6FA">
      <w:pPr>
        <w:spacing w:line="480" w:lineRule="auto"/>
        <w:ind w:right="540"/>
        <w:jc w:val="center"/>
        <w:rPr>
          <w:rFonts w:ascii="宋体" w:hAnsi="宋体"/>
          <w:color w:val="000000"/>
          <w:sz w:val="27"/>
          <w:szCs w:val="27"/>
        </w:rPr>
      </w:pPr>
    </w:p>
    <w:p w14:paraId="7DE881A6">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14:paraId="514A895F">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14:paraId="173751EE">
      <w:pPr>
        <w:pStyle w:val="3"/>
        <w:rPr>
          <w:kern w:val="0"/>
        </w:rPr>
      </w:pPr>
    </w:p>
    <w:p w14:paraId="55561980">
      <w:pPr>
        <w:rPr>
          <w:kern w:val="0"/>
        </w:rPr>
      </w:pPr>
    </w:p>
    <w:p w14:paraId="35775F9A">
      <w:pPr>
        <w:rPr>
          <w:kern w:val="0"/>
        </w:rPr>
      </w:pPr>
    </w:p>
    <w:p w14:paraId="3080F565">
      <w:pPr>
        <w:rPr>
          <w:kern w:val="0"/>
        </w:rPr>
      </w:pPr>
    </w:p>
    <w:p w14:paraId="14470DDA">
      <w:pPr>
        <w:rPr>
          <w:kern w:val="0"/>
        </w:rPr>
      </w:pPr>
    </w:p>
    <w:p w14:paraId="18410A6C">
      <w:pPr>
        <w:rPr>
          <w:kern w:val="0"/>
        </w:rPr>
      </w:pPr>
    </w:p>
    <w:p w14:paraId="2DE648BF">
      <w:pPr>
        <w:rPr>
          <w:kern w:val="0"/>
        </w:rPr>
      </w:pPr>
    </w:p>
    <w:p w14:paraId="0264203E">
      <w:pPr>
        <w:rPr>
          <w:kern w:val="0"/>
        </w:rPr>
      </w:pPr>
    </w:p>
    <w:p w14:paraId="2C526E9B">
      <w:pPr>
        <w:rPr>
          <w:kern w:val="0"/>
        </w:rPr>
      </w:pPr>
    </w:p>
    <w:p w14:paraId="2CA0655D">
      <w:pPr>
        <w:ind w:left="0" w:leftChars="0" w:firstLine="0" w:firstLineChars="0"/>
        <w:rPr>
          <w:kern w:val="0"/>
        </w:rPr>
      </w:pPr>
    </w:p>
    <w:p w14:paraId="41992808">
      <w:pPr>
        <w:pStyle w:val="3"/>
        <w:ind w:left="0" w:leftChars="0" w:firstLine="0" w:firstLineChars="0"/>
        <w:jc w:val="center"/>
        <w:rPr>
          <w:rFonts w:hint="eastAsia"/>
          <w:kern w:val="0"/>
          <w:lang w:val="en-US" w:eastAsia="zh-CN"/>
        </w:rPr>
      </w:pPr>
      <w:r>
        <w:rPr>
          <w:rFonts w:hint="eastAsia"/>
          <w:kern w:val="0"/>
          <w:lang w:val="en-US" w:eastAsia="zh-CN"/>
        </w:rPr>
        <w:t>七、响应供应商资格证明文件</w:t>
      </w:r>
    </w:p>
    <w:p w14:paraId="30FF5370">
      <w:pPr>
        <w:spacing w:line="360" w:lineRule="auto"/>
        <w:rPr>
          <w:rFonts w:hint="eastAsia"/>
          <w:sz w:val="30"/>
          <w:szCs w:val="30"/>
          <w:lang w:eastAsia="zh-CN"/>
        </w:rPr>
      </w:pPr>
      <w:r>
        <w:rPr>
          <w:rFonts w:hint="eastAsia"/>
          <w:sz w:val="30"/>
          <w:szCs w:val="30"/>
        </w:rPr>
        <w:t>1、营业执照、税务登记证、机构代码证（三证（五证）合一的提供三证（五证）合一证件）、银行开户许可证</w:t>
      </w:r>
      <w:r>
        <w:rPr>
          <w:rFonts w:hint="eastAsia"/>
          <w:sz w:val="30"/>
          <w:szCs w:val="30"/>
          <w:lang w:eastAsia="zh-CN"/>
        </w:rPr>
        <w:t>。</w:t>
      </w:r>
    </w:p>
    <w:p w14:paraId="5FE975C3">
      <w:pPr>
        <w:pStyle w:val="4"/>
        <w:rPr>
          <w:rFonts w:hint="eastAsia"/>
          <w:lang w:eastAsia="zh-CN"/>
        </w:rPr>
      </w:pPr>
    </w:p>
    <w:p w14:paraId="3D8E0540">
      <w:pPr>
        <w:spacing w:line="360" w:lineRule="auto"/>
        <w:rPr>
          <w:sz w:val="30"/>
          <w:szCs w:val="30"/>
        </w:rPr>
      </w:pPr>
    </w:p>
    <w:p w14:paraId="67256393">
      <w:pPr>
        <w:spacing w:line="360" w:lineRule="auto"/>
        <w:rPr>
          <w:sz w:val="30"/>
          <w:szCs w:val="30"/>
        </w:rPr>
      </w:pPr>
    </w:p>
    <w:p w14:paraId="20ADD78F">
      <w:pPr>
        <w:spacing w:line="360" w:lineRule="auto"/>
        <w:rPr>
          <w:sz w:val="30"/>
          <w:szCs w:val="30"/>
        </w:rPr>
      </w:pPr>
    </w:p>
    <w:p w14:paraId="30A4D704">
      <w:pPr>
        <w:spacing w:line="360" w:lineRule="auto"/>
        <w:rPr>
          <w:sz w:val="30"/>
          <w:szCs w:val="30"/>
        </w:rPr>
      </w:pPr>
    </w:p>
    <w:p w14:paraId="3902D615">
      <w:pPr>
        <w:spacing w:line="360" w:lineRule="auto"/>
        <w:rPr>
          <w:sz w:val="30"/>
          <w:szCs w:val="30"/>
        </w:rPr>
      </w:pPr>
    </w:p>
    <w:p w14:paraId="3A080971">
      <w:pPr>
        <w:spacing w:line="360" w:lineRule="auto"/>
        <w:rPr>
          <w:sz w:val="30"/>
          <w:szCs w:val="30"/>
        </w:rPr>
      </w:pPr>
    </w:p>
    <w:p w14:paraId="7F90853D">
      <w:pPr>
        <w:spacing w:line="360" w:lineRule="auto"/>
        <w:rPr>
          <w:sz w:val="30"/>
          <w:szCs w:val="30"/>
        </w:rPr>
      </w:pPr>
    </w:p>
    <w:p w14:paraId="45066EB1">
      <w:pPr>
        <w:spacing w:line="360" w:lineRule="auto"/>
        <w:rPr>
          <w:sz w:val="30"/>
          <w:szCs w:val="30"/>
        </w:rPr>
      </w:pPr>
    </w:p>
    <w:p w14:paraId="77A4BB53">
      <w:pPr>
        <w:spacing w:line="360" w:lineRule="auto"/>
        <w:rPr>
          <w:sz w:val="30"/>
          <w:szCs w:val="30"/>
        </w:rPr>
      </w:pPr>
    </w:p>
    <w:p w14:paraId="5FA80615">
      <w:pPr>
        <w:spacing w:line="360" w:lineRule="auto"/>
        <w:rPr>
          <w:sz w:val="30"/>
          <w:szCs w:val="30"/>
        </w:rPr>
      </w:pPr>
    </w:p>
    <w:p w14:paraId="161B28D8">
      <w:pPr>
        <w:spacing w:line="360" w:lineRule="auto"/>
        <w:rPr>
          <w:sz w:val="30"/>
          <w:szCs w:val="30"/>
        </w:rPr>
      </w:pPr>
    </w:p>
    <w:p w14:paraId="5EEE2759">
      <w:pPr>
        <w:spacing w:line="360" w:lineRule="auto"/>
        <w:rPr>
          <w:sz w:val="30"/>
          <w:szCs w:val="30"/>
        </w:rPr>
      </w:pPr>
    </w:p>
    <w:p w14:paraId="74309813">
      <w:pPr>
        <w:spacing w:line="360" w:lineRule="auto"/>
        <w:rPr>
          <w:sz w:val="30"/>
          <w:szCs w:val="30"/>
        </w:rPr>
      </w:pPr>
    </w:p>
    <w:p w14:paraId="55AF0F84">
      <w:pPr>
        <w:spacing w:line="360" w:lineRule="auto"/>
        <w:rPr>
          <w:sz w:val="30"/>
          <w:szCs w:val="30"/>
        </w:rPr>
      </w:pPr>
    </w:p>
    <w:p w14:paraId="573C6866">
      <w:pPr>
        <w:spacing w:line="360" w:lineRule="auto"/>
        <w:rPr>
          <w:sz w:val="30"/>
          <w:szCs w:val="30"/>
        </w:rPr>
      </w:pPr>
    </w:p>
    <w:p w14:paraId="5D2A6D8B">
      <w:pPr>
        <w:spacing w:line="360" w:lineRule="auto"/>
        <w:rPr>
          <w:sz w:val="30"/>
          <w:szCs w:val="30"/>
        </w:rPr>
      </w:pPr>
    </w:p>
    <w:p w14:paraId="5A7047C7">
      <w:pPr>
        <w:spacing w:line="360" w:lineRule="auto"/>
        <w:rPr>
          <w:sz w:val="30"/>
          <w:szCs w:val="30"/>
        </w:rPr>
      </w:pPr>
    </w:p>
    <w:p w14:paraId="14D6BF9D">
      <w:pPr>
        <w:spacing w:line="360" w:lineRule="auto"/>
        <w:rPr>
          <w:sz w:val="30"/>
          <w:szCs w:val="30"/>
        </w:rPr>
      </w:pPr>
    </w:p>
    <w:p w14:paraId="4808C0D1">
      <w:pPr>
        <w:spacing w:line="360" w:lineRule="auto"/>
        <w:rPr>
          <w:sz w:val="30"/>
          <w:szCs w:val="30"/>
        </w:rPr>
      </w:pPr>
    </w:p>
    <w:p w14:paraId="1053D667">
      <w:pPr>
        <w:spacing w:line="360" w:lineRule="auto"/>
        <w:jc w:val="center"/>
        <w:rPr>
          <w:rFonts w:hint="eastAsia" w:ascii="黑体" w:hAnsi="黑体" w:eastAsia="黑体" w:cs="黑体"/>
          <w:b/>
          <w:bCs/>
          <w:sz w:val="30"/>
          <w:szCs w:val="30"/>
          <w:lang w:val="en-US" w:eastAsia="zh-CN"/>
        </w:rPr>
      </w:pPr>
    </w:p>
    <w:p w14:paraId="2B4F5C09">
      <w:pPr>
        <w:spacing w:line="360" w:lineRule="auto"/>
        <w:jc w:val="center"/>
        <w:rPr>
          <w:rFonts w:hint="eastAsia" w:ascii="黑体" w:hAnsi="黑体" w:eastAsia="黑体" w:cs="黑体"/>
          <w:b/>
          <w:bCs/>
          <w:sz w:val="30"/>
          <w:szCs w:val="30"/>
          <w:lang w:val="en-US" w:eastAsia="zh-CN"/>
        </w:rPr>
      </w:pPr>
    </w:p>
    <w:p w14:paraId="573F670E">
      <w:pPr>
        <w:pStyle w:val="3"/>
        <w:ind w:left="0" w:leftChars="0" w:firstLine="0" w:firstLineChars="0"/>
        <w:jc w:val="center"/>
        <w:rPr>
          <w:rFonts w:hint="eastAsia"/>
          <w:kern w:val="0"/>
          <w:lang w:val="en-US" w:eastAsia="zh-CN"/>
        </w:rPr>
      </w:pPr>
      <w:r>
        <w:rPr>
          <w:rFonts w:hint="eastAsia"/>
          <w:kern w:val="0"/>
          <w:lang w:val="en-US" w:eastAsia="zh-CN"/>
        </w:rPr>
        <w:t>八、其他证明文件</w:t>
      </w:r>
    </w:p>
    <w:p w14:paraId="38B49B82">
      <w:pPr>
        <w:spacing w:line="360" w:lineRule="auto"/>
        <w:jc w:val="center"/>
        <w:rPr>
          <w:rFonts w:ascii="黑体" w:hAnsi="黑体" w:eastAsia="黑体" w:cs="黑体"/>
          <w:b/>
          <w:bCs/>
          <w:sz w:val="30"/>
          <w:szCs w:val="30"/>
        </w:rPr>
      </w:pPr>
    </w:p>
    <w:p w14:paraId="328BFF0D">
      <w:pPr>
        <w:spacing w:line="360" w:lineRule="auto"/>
        <w:jc w:val="center"/>
        <w:rPr>
          <w:rFonts w:ascii="黑体" w:hAnsi="黑体" w:eastAsia="黑体" w:cs="黑体"/>
          <w:b/>
          <w:bCs/>
          <w:sz w:val="30"/>
          <w:szCs w:val="30"/>
        </w:rPr>
      </w:pPr>
    </w:p>
    <w:p w14:paraId="685F8737">
      <w:pPr>
        <w:spacing w:line="360" w:lineRule="auto"/>
        <w:jc w:val="center"/>
        <w:rPr>
          <w:rFonts w:ascii="黑体" w:hAnsi="黑体" w:eastAsia="黑体" w:cs="黑体"/>
          <w:b/>
          <w:bCs/>
          <w:sz w:val="30"/>
          <w:szCs w:val="30"/>
        </w:rPr>
      </w:pPr>
    </w:p>
    <w:p w14:paraId="1532E823">
      <w:pPr>
        <w:spacing w:line="360" w:lineRule="auto"/>
        <w:jc w:val="center"/>
        <w:rPr>
          <w:rFonts w:ascii="黑体" w:hAnsi="黑体" w:eastAsia="黑体" w:cs="黑体"/>
          <w:b/>
          <w:bCs/>
          <w:sz w:val="30"/>
          <w:szCs w:val="30"/>
        </w:rPr>
      </w:pPr>
    </w:p>
    <w:p w14:paraId="2303A065">
      <w:pPr>
        <w:spacing w:line="360" w:lineRule="auto"/>
        <w:jc w:val="center"/>
        <w:rPr>
          <w:rFonts w:ascii="黑体" w:hAnsi="黑体" w:eastAsia="黑体" w:cs="黑体"/>
          <w:b/>
          <w:bCs/>
          <w:sz w:val="30"/>
          <w:szCs w:val="30"/>
        </w:rPr>
      </w:pPr>
    </w:p>
    <w:p w14:paraId="66B41BFE">
      <w:pPr>
        <w:spacing w:line="360" w:lineRule="auto"/>
        <w:jc w:val="center"/>
        <w:rPr>
          <w:rFonts w:ascii="黑体" w:hAnsi="黑体" w:eastAsia="黑体" w:cs="黑体"/>
          <w:b/>
          <w:bCs/>
          <w:sz w:val="30"/>
          <w:szCs w:val="30"/>
        </w:rPr>
      </w:pPr>
    </w:p>
    <w:p w14:paraId="24590685">
      <w:pPr>
        <w:spacing w:line="360" w:lineRule="auto"/>
        <w:jc w:val="center"/>
        <w:rPr>
          <w:rFonts w:ascii="黑体" w:hAnsi="黑体" w:eastAsia="黑体" w:cs="黑体"/>
          <w:b/>
          <w:bCs/>
          <w:sz w:val="30"/>
          <w:szCs w:val="30"/>
        </w:rPr>
      </w:pPr>
    </w:p>
    <w:p w14:paraId="11CA7E4F">
      <w:pPr>
        <w:spacing w:line="360" w:lineRule="auto"/>
        <w:jc w:val="center"/>
        <w:rPr>
          <w:rFonts w:ascii="黑体" w:hAnsi="黑体" w:eastAsia="黑体" w:cs="黑体"/>
          <w:b/>
          <w:bCs/>
          <w:sz w:val="30"/>
          <w:szCs w:val="30"/>
        </w:rPr>
      </w:pPr>
    </w:p>
    <w:p w14:paraId="7051C31E">
      <w:pPr>
        <w:spacing w:line="360" w:lineRule="auto"/>
        <w:jc w:val="center"/>
        <w:rPr>
          <w:rFonts w:ascii="黑体" w:hAnsi="黑体" w:eastAsia="黑体" w:cs="黑体"/>
          <w:b/>
          <w:bCs/>
          <w:sz w:val="30"/>
          <w:szCs w:val="30"/>
        </w:rPr>
      </w:pPr>
    </w:p>
    <w:p w14:paraId="563E27E2">
      <w:pPr>
        <w:spacing w:line="360" w:lineRule="auto"/>
        <w:jc w:val="center"/>
        <w:rPr>
          <w:rFonts w:ascii="黑体" w:hAnsi="黑体" w:eastAsia="黑体" w:cs="黑体"/>
          <w:b/>
          <w:bCs/>
          <w:sz w:val="30"/>
          <w:szCs w:val="30"/>
        </w:rPr>
      </w:pPr>
    </w:p>
    <w:p w14:paraId="6A76F56A">
      <w:pPr>
        <w:spacing w:line="360" w:lineRule="auto"/>
        <w:jc w:val="center"/>
        <w:rPr>
          <w:rFonts w:ascii="黑体" w:hAnsi="黑体" w:eastAsia="黑体" w:cs="黑体"/>
          <w:b/>
          <w:bCs/>
          <w:sz w:val="30"/>
          <w:szCs w:val="30"/>
        </w:rPr>
      </w:pPr>
    </w:p>
    <w:p w14:paraId="30B4F272">
      <w:pPr>
        <w:spacing w:line="360" w:lineRule="auto"/>
        <w:jc w:val="center"/>
        <w:rPr>
          <w:rFonts w:ascii="黑体" w:hAnsi="黑体" w:eastAsia="黑体" w:cs="黑体"/>
          <w:b/>
          <w:bCs/>
          <w:sz w:val="30"/>
          <w:szCs w:val="30"/>
        </w:rPr>
      </w:pPr>
    </w:p>
    <w:p w14:paraId="48B0BEE2">
      <w:pPr>
        <w:spacing w:line="360" w:lineRule="auto"/>
        <w:jc w:val="center"/>
        <w:rPr>
          <w:rFonts w:ascii="黑体" w:hAnsi="黑体" w:eastAsia="黑体" w:cs="黑体"/>
          <w:b/>
          <w:bCs/>
          <w:sz w:val="30"/>
          <w:szCs w:val="30"/>
        </w:rPr>
      </w:pPr>
    </w:p>
    <w:p w14:paraId="53F8FBE5">
      <w:pPr>
        <w:spacing w:line="360" w:lineRule="auto"/>
        <w:jc w:val="center"/>
        <w:rPr>
          <w:rFonts w:ascii="黑体" w:hAnsi="黑体" w:eastAsia="黑体" w:cs="黑体"/>
          <w:b/>
          <w:bCs/>
          <w:sz w:val="30"/>
          <w:szCs w:val="30"/>
        </w:rPr>
      </w:pPr>
    </w:p>
    <w:p w14:paraId="10B53F1F">
      <w:pPr>
        <w:spacing w:line="360" w:lineRule="auto"/>
        <w:jc w:val="center"/>
        <w:rPr>
          <w:rFonts w:ascii="黑体" w:hAnsi="黑体" w:eastAsia="黑体" w:cs="黑体"/>
          <w:b/>
          <w:bCs/>
          <w:sz w:val="30"/>
          <w:szCs w:val="30"/>
        </w:rPr>
      </w:pPr>
    </w:p>
    <w:p w14:paraId="7B05630F">
      <w:pPr>
        <w:spacing w:line="360" w:lineRule="auto"/>
        <w:jc w:val="center"/>
        <w:rPr>
          <w:rFonts w:ascii="黑体" w:hAnsi="黑体" w:eastAsia="黑体" w:cs="黑体"/>
          <w:b/>
          <w:bCs/>
          <w:sz w:val="30"/>
          <w:szCs w:val="30"/>
        </w:rPr>
      </w:pPr>
    </w:p>
    <w:p w14:paraId="111E6648">
      <w:pPr>
        <w:spacing w:line="360" w:lineRule="auto"/>
        <w:jc w:val="center"/>
        <w:rPr>
          <w:rFonts w:ascii="黑体" w:hAnsi="黑体" w:eastAsia="黑体" w:cs="黑体"/>
          <w:b/>
          <w:bCs/>
          <w:sz w:val="30"/>
          <w:szCs w:val="30"/>
        </w:rPr>
      </w:pPr>
    </w:p>
    <w:p w14:paraId="211B5A04">
      <w:pPr>
        <w:spacing w:line="360" w:lineRule="auto"/>
        <w:jc w:val="center"/>
        <w:rPr>
          <w:rFonts w:ascii="黑体" w:hAnsi="黑体" w:eastAsia="黑体" w:cs="黑体"/>
          <w:b/>
          <w:bCs/>
          <w:sz w:val="30"/>
          <w:szCs w:val="30"/>
        </w:rPr>
      </w:pPr>
    </w:p>
    <w:p w14:paraId="21B7F897"/>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1" w:footer="992" w:gutter="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532175"/>
      <w:docPartObj>
        <w:docPartGallery w:val="autotext"/>
      </w:docPartObj>
    </w:sdtPr>
    <w:sdtContent>
      <w:p w14:paraId="4E526F67">
        <w:pPr>
          <w:pStyle w:val="5"/>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56AB">
    <w:pPr>
      <w:pStyle w:val="5"/>
      <w:ind w:firstLine="360"/>
    </w:pPr>
  </w:p>
  <w:p w14:paraId="1691B39F">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154A">
    <w:pPr>
      <w:pStyle w:val="5"/>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CCD2">
    <w:pPr>
      <w:tabs>
        <w:tab w:val="left" w:pos="6375"/>
      </w:tabs>
      <w:spacing w:line="240" w:lineRule="auto"/>
      <w:ind w:firstLine="0" w:firstLineChars="0"/>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76A23">
    <w:pPr>
      <w:pStyle w:val="6"/>
      <w:ind w:firstLine="360"/>
    </w:pPr>
  </w:p>
  <w:p w14:paraId="07716CA5">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338E">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35B53"/>
    <w:multiLevelType w:val="multilevel"/>
    <w:tmpl w:val="63D35B53"/>
    <w:lvl w:ilvl="0" w:tentative="0">
      <w:start w:val="1"/>
      <w:numFmt w:val="chineseCountingThousand"/>
      <w:pStyle w:val="13"/>
      <w:suff w:val="space"/>
      <w:lvlText w:val="第%1章"/>
      <w:lvlJc w:val="left"/>
      <w:pPr>
        <w:ind w:left="0" w:firstLine="0"/>
      </w:pPr>
    </w:lvl>
    <w:lvl w:ilvl="1" w:tentative="0">
      <w:start w:val="1"/>
      <w:numFmt w:val="decimal"/>
      <w:pStyle w:val="14"/>
      <w:isLgl/>
      <w:suff w:val="space"/>
      <w:lvlText w:val="%1.%2"/>
      <w:lvlJc w:val="left"/>
      <w:pPr>
        <w:ind w:left="0" w:firstLine="0"/>
      </w:pPr>
    </w:lvl>
    <w:lvl w:ilvl="2" w:tentative="0">
      <w:start w:val="1"/>
      <w:numFmt w:val="decimal"/>
      <w:pStyle w:val="15"/>
      <w:isLgl/>
      <w:suff w:val="space"/>
      <w:lvlText w:val="%1.%2.%3"/>
      <w:lvlJc w:val="left"/>
      <w:pPr>
        <w:ind w:left="0" w:firstLine="0"/>
      </w:pPr>
      <w:rPr>
        <w:rFonts w:hint="default"/>
        <w:sz w:val="24"/>
        <w:szCs w:val="24"/>
      </w:rPr>
    </w:lvl>
    <w:lvl w:ilvl="3" w:tentative="0">
      <w:start w:val="1"/>
      <w:numFmt w:val="decimal"/>
      <w:pStyle w:val="16"/>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isLg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1.%2.%3.%4.%5.%6.%7.%8"/>
      <w:lvlJc w:val="left"/>
      <w:pPr>
        <w:ind w:left="0" w:firstLine="0"/>
      </w:pPr>
    </w:lvl>
    <w:lvl w:ilvl="8" w:tentative="0">
      <w:start w:val="1"/>
      <w:numFmt w:val="decimal"/>
      <w:suff w:val="nothing"/>
      <w:lvlText w:val="%1.%2.%3.%4.%5.%6.%7.%8.%9"/>
      <w:lvlJc w:val="left"/>
      <w:pPr>
        <w:ind w:left="0" w:firstLine="0"/>
      </w:pPr>
    </w:lvl>
  </w:abstractNum>
  <w:abstractNum w:abstractNumId="1">
    <w:nsid w:val="7BCE7D52"/>
    <w:multiLevelType w:val="singleLevel"/>
    <w:tmpl w:val="7BCE7D52"/>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03949"/>
    <w:rsid w:val="5706236A"/>
    <w:rsid w:val="662424F8"/>
    <w:rsid w:val="67803949"/>
    <w:rsid w:val="7761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0"/>
    <w:pPr>
      <w:snapToGrid w:val="0"/>
      <w:jc w:val="left"/>
    </w:pPr>
  </w:style>
  <w:style w:type="paragraph" w:styleId="4">
    <w:name w:val="Body Text"/>
    <w:basedOn w:val="1"/>
    <w:qFormat/>
    <w:uiPriority w:val="0"/>
    <w:pPr>
      <w:spacing w:after="120"/>
    </w:pPr>
    <w:rPr>
      <w:sz w:val="24"/>
      <w:szCs w:val="20"/>
    </w:rPr>
  </w:style>
  <w:style w:type="paragraph" w:styleId="5">
    <w:name w:val="footer"/>
    <w:basedOn w:val="1"/>
    <w:unhideWhenUsed/>
    <w:qFormat/>
    <w:uiPriority w:val="99"/>
    <w:pPr>
      <w:tabs>
        <w:tab w:val="center" w:pos="4153"/>
        <w:tab w:val="right" w:pos="8306"/>
      </w:tabs>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page number"/>
    <w:qFormat/>
    <w:uiPriority w:val="99"/>
    <w:rPr>
      <w:rFonts w:cs="Times New Roman"/>
    </w:rPr>
  </w:style>
  <w:style w:type="paragraph" w:customStyle="1" w:styleId="13">
    <w:name w:val="标题1"/>
    <w:basedOn w:val="1"/>
    <w:next w:val="1"/>
    <w:qFormat/>
    <w:uiPriority w:val="0"/>
    <w:pPr>
      <w:numPr>
        <w:ilvl w:val="0"/>
        <w:numId w:val="1"/>
      </w:numPr>
      <w:snapToGrid/>
      <w:ind w:firstLineChars="0"/>
      <w:jc w:val="left"/>
      <w:outlineLvl w:val="0"/>
    </w:pPr>
    <w:rPr>
      <w:b/>
      <w:sz w:val="30"/>
    </w:rPr>
  </w:style>
  <w:style w:type="paragraph" w:customStyle="1" w:styleId="14">
    <w:name w:val="标题2"/>
    <w:basedOn w:val="13"/>
    <w:next w:val="1"/>
    <w:qFormat/>
    <w:uiPriority w:val="0"/>
    <w:pPr>
      <w:numPr>
        <w:ilvl w:val="1"/>
      </w:numPr>
      <w:outlineLvl w:val="1"/>
    </w:pPr>
    <w:rPr>
      <w:sz w:val="24"/>
      <w:szCs w:val="20"/>
    </w:rPr>
  </w:style>
  <w:style w:type="paragraph" w:customStyle="1" w:styleId="15">
    <w:name w:val="标题3"/>
    <w:basedOn w:val="14"/>
    <w:next w:val="1"/>
    <w:qFormat/>
    <w:uiPriority w:val="0"/>
    <w:pPr>
      <w:numPr>
        <w:ilvl w:val="2"/>
      </w:numPr>
      <w:outlineLvl w:val="2"/>
    </w:pPr>
    <w:rPr>
      <w:szCs w:val="24"/>
    </w:rPr>
  </w:style>
  <w:style w:type="paragraph" w:customStyle="1" w:styleId="16">
    <w:name w:val="标题4"/>
    <w:basedOn w:val="15"/>
    <w:next w:val="1"/>
    <w:qFormat/>
    <w:uiPriority w:val="0"/>
    <w:pPr>
      <w:numPr>
        <w:ilvl w:val="3"/>
      </w:numPr>
      <w:outlineLvl w:val="3"/>
    </w:pPr>
    <w:rPr>
      <w:sz w:val="24"/>
    </w:rPr>
  </w:style>
  <w:style w:type="paragraph" w:customStyle="1" w:styleId="17">
    <w:name w:val="*正文"/>
    <w:basedOn w:val="1"/>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8438</Words>
  <Characters>8630</Characters>
  <Lines>0</Lines>
  <Paragraphs>0</Paragraphs>
  <TotalTime>3</TotalTime>
  <ScaleCrop>false</ScaleCrop>
  <LinksUpToDate>false</LinksUpToDate>
  <CharactersWithSpaces>8841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2025-11-11T06:39:00Z</dcterms:created>
  <dc:creator>八月未央</dc:creator>
  <cp:lastModifiedBy>八月未央</cp:lastModifiedBy>
  <dcterms:modified xsi:type="dcterms:W3CDTF">2025-11-12T01:10:54Z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D04E3DA0959848F2971D744C9DE59F7E_11</vt:lpwstr>
  </property>
  <property fmtid="{D5CDD505-2E9C-101B-9397-08002B2CF9AE}" pid="4" name="KSOTemplateDocerSaveRecord">
    <vt:lpwstr>eyJoZGlkIjoiYTgwNzY1NTZjYThhYWQ4ZDM1NDA5YzczOTAzOTkwNWEiLCJ1c2VySWQiOiIxMDUzNjU2ODAzIn0=</vt:lpwstr>
  </property>
</Properties>
</file>