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2"/>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2"/>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hint="default" w:ascii="宋体" w:hAnsi="宋体" w:eastAsia="宋体" w:cs="宋体"/>
          <w:b/>
          <w:color w:val="FF0000"/>
          <w:kern w:val="0"/>
          <w:sz w:val="36"/>
          <w:szCs w:val="36"/>
          <w:lang w:val="en-US" w:eastAsia="zh-CN"/>
        </w:rPr>
      </w:pPr>
      <w:r>
        <w:rPr>
          <w:rFonts w:hint="eastAsia" w:ascii="宋体" w:hAnsi="宋体" w:cs="宋体"/>
          <w:b/>
          <w:kern w:val="0"/>
          <w:sz w:val="36"/>
          <w:szCs w:val="36"/>
        </w:rPr>
        <w:t>项目名称：</w:t>
      </w:r>
      <w:r>
        <w:rPr>
          <w:rFonts w:hint="eastAsia" w:ascii="宋体" w:hAnsi="宋体" w:cs="宋体"/>
          <w:b/>
          <w:color w:val="FF0000"/>
          <w:kern w:val="0"/>
          <w:sz w:val="36"/>
          <w:szCs w:val="36"/>
          <w:lang w:val="en-US" w:eastAsia="zh-CN"/>
        </w:rPr>
        <w:t>赣州市妇幼保健院体检管理系统项目</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2"/>
        <w:ind w:firstLine="0"/>
        <w:rPr>
          <w:rFonts w:ascii="黑体"/>
          <w:kern w:val="0"/>
        </w:rPr>
      </w:pPr>
      <w:bookmarkStart w:id="1" w:name="_Toc485736230"/>
      <w:r>
        <w:rPr>
          <w:rFonts w:hint="eastAsia"/>
          <w:kern w:val="0"/>
        </w:rPr>
        <w:t>一、</w:t>
      </w:r>
      <w:r>
        <w:rPr>
          <w:rFonts w:hint="eastAsia"/>
          <w:color w:val="FF0000"/>
          <w:kern w:val="0"/>
          <w:lang w:val="en-US" w:eastAsia="zh-CN"/>
        </w:rPr>
        <w:t>赣州市妇幼保健院体检管理系统</w:t>
      </w:r>
      <w:r>
        <w:rPr>
          <w:rFonts w:hint="eastAsia"/>
          <w:kern w:val="0"/>
        </w:rPr>
        <w:t>项目咨询响应函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spacing w:line="360" w:lineRule="auto"/>
        <w:jc w:val="center"/>
        <w:outlineLvl w:val="1"/>
        <w:rPr>
          <w:rFonts w:ascii="Arial" w:hAnsi="Arial" w:eastAsia="黑体"/>
          <w:b/>
          <w:bCs/>
          <w:kern w:val="0"/>
          <w:sz w:val="32"/>
          <w:szCs w:val="32"/>
        </w:rPr>
      </w:pPr>
      <w:bookmarkStart w:id="2" w:name="_Toc480191544"/>
      <w:bookmarkStart w:id="3" w:name="_Toc485736233"/>
      <w:bookmarkStart w:id="4" w:name="_Toc265316642"/>
      <w:r>
        <w:rPr>
          <w:rFonts w:hint="eastAsia" w:ascii="Arial" w:hAnsi="Arial" w:eastAsia="黑体"/>
          <w:b/>
          <w:bCs/>
          <w:kern w:val="0"/>
          <w:sz w:val="32"/>
          <w:szCs w:val="32"/>
        </w:rPr>
        <w:t>二、报 价 清 单</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 xml:space="preserve">                                                   单位：元</w:t>
      </w:r>
    </w:p>
    <w:tbl>
      <w:tblPr>
        <w:tblStyle w:val="24"/>
        <w:tblW w:w="104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8"/>
        <w:gridCol w:w="1738"/>
        <w:gridCol w:w="1693"/>
        <w:gridCol w:w="1059"/>
        <w:gridCol w:w="1036"/>
        <w:gridCol w:w="1089"/>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产品名称</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品牌商标</w:t>
            </w: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规格型号</w:t>
            </w: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产地</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数量</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单价</w:t>
            </w: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7" w:firstLineChars="150"/>
              <w:rPr>
                <w:rFonts w:ascii="宋体" w:hAnsi="宋体" w:cs="宋体"/>
                <w:b/>
                <w:bCs/>
                <w:color w:val="000000"/>
                <w:kern w:val="0"/>
                <w:sz w:val="27"/>
                <w:szCs w:val="27"/>
              </w:rPr>
            </w:pPr>
            <w:r>
              <w:rPr>
                <w:rFonts w:hint="eastAsia" w:ascii="宋体" w:hAnsi="宋体" w:cs="宋体"/>
                <w:b/>
                <w:bCs/>
                <w:color w:val="000000"/>
                <w:kern w:val="0"/>
                <w:sz w:val="27"/>
                <w:szCs w:val="27"/>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kern w:val="0"/>
                <w:sz w:val="27"/>
                <w:szCs w:val="27"/>
                <w:lang w:val="en-US" w:eastAsia="zh-CN"/>
              </w:rPr>
            </w:pPr>
            <w:r>
              <w:rPr>
                <w:rFonts w:hint="eastAsia"/>
                <w:color w:val="FF0000"/>
                <w:kern w:val="0"/>
                <w:lang w:val="en-US" w:eastAsia="zh-CN"/>
              </w:rPr>
              <w:t>赣州市妇幼保健院体检管理系统</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hint="eastAsia" w:ascii="宋体" w:hAnsi="宋体" w:eastAsia="宋体" w:cs="宋体"/>
                <w:color w:val="000000"/>
                <w:kern w:val="0"/>
                <w:sz w:val="27"/>
                <w:szCs w:val="27"/>
                <w:lang w:eastAsia="zh-CN"/>
              </w:rPr>
            </w:pPr>
            <w:r>
              <w:rPr>
                <w:rFonts w:hint="eastAsia" w:ascii="宋体" w:hAnsi="宋体" w:cs="宋体"/>
                <w:color w:val="000000"/>
                <w:kern w:val="0"/>
                <w:sz w:val="27"/>
                <w:szCs w:val="27"/>
                <w:lang w:val="en-US" w:eastAsia="zh-CN"/>
              </w:rPr>
              <w:t>总价</w:t>
            </w:r>
            <w:r>
              <w:rPr>
                <w:rFonts w:hint="eastAsia" w:ascii="宋体" w:hAnsi="宋体" w:cs="宋体"/>
                <w:color w:val="000000"/>
                <w:kern w:val="0"/>
                <w:sz w:val="27"/>
                <w:szCs w:val="27"/>
              </w:rPr>
              <w:t>（大写）</w:t>
            </w:r>
            <w:r>
              <w:rPr>
                <w:rFonts w:hint="eastAsia" w:ascii="宋体" w:hAnsi="宋体" w:cs="宋体"/>
                <w:color w:val="000000"/>
                <w:kern w:val="0"/>
                <w:sz w:val="27"/>
                <w:szCs w:val="27"/>
                <w:lang w:eastAsia="zh-CN"/>
              </w:rPr>
              <w:t>：</w:t>
            </w: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bl>
    <w:p>
      <w:pPr>
        <w:spacing w:line="360" w:lineRule="auto"/>
        <w:ind w:firstLine="405" w:firstLineChars="150"/>
        <w:rPr>
          <w:rFonts w:ascii="宋体" w:hAnsi="宋体" w:cs="宋体"/>
          <w:color w:val="000000"/>
          <w:kern w:val="0"/>
          <w:sz w:val="27"/>
          <w:szCs w:val="27"/>
        </w:rPr>
      </w:pPr>
    </w:p>
    <w:p>
      <w:pPr>
        <w:jc w:val="center"/>
        <w:rPr>
          <w:rFonts w:ascii="Arial" w:hAnsi="Arial" w:eastAsia="黑体"/>
          <w:b/>
          <w:bCs/>
          <w:kern w:val="0"/>
          <w:sz w:val="32"/>
          <w:szCs w:val="32"/>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jc w:val="center"/>
        <w:outlineLvl w:val="1"/>
        <w:rPr>
          <w:rFonts w:hint="eastAsia" w:eastAsia="黑体"/>
          <w:color w:val="000000"/>
          <w:lang w:val="en-US" w:eastAsia="zh-CN"/>
        </w:rPr>
      </w:pPr>
      <w:r>
        <w:rPr>
          <w:rFonts w:hint="eastAsia" w:ascii="Arial" w:hAnsi="Arial" w:eastAsia="黑体"/>
          <w:b/>
          <w:bCs/>
          <w:kern w:val="0"/>
          <w:sz w:val="32"/>
          <w:szCs w:val="32"/>
        </w:rPr>
        <w:t>三、采购项目需求</w:t>
      </w:r>
      <w:bookmarkEnd w:id="2"/>
      <w:bookmarkEnd w:id="3"/>
      <w:bookmarkStart w:id="5" w:name="_Toc519068587"/>
      <w:bookmarkEnd w:id="5"/>
      <w:bookmarkStart w:id="6" w:name="_Toc485736243"/>
      <w:bookmarkStart w:id="7" w:name="_Toc479257748"/>
      <w:bookmarkStart w:id="8" w:name="_Toc485736236"/>
      <w:bookmarkStart w:id="9" w:name="_Toc516969105"/>
      <w:r>
        <w:rPr>
          <w:rFonts w:hint="eastAsia" w:ascii="Arial" w:hAnsi="Arial" w:eastAsia="黑体"/>
          <w:b/>
          <w:bCs/>
          <w:kern w:val="0"/>
          <w:sz w:val="32"/>
          <w:szCs w:val="32"/>
          <w:lang w:eastAsia="zh-CN"/>
        </w:rPr>
        <w:t>、服务需求</w:t>
      </w:r>
    </w:p>
    <w:p>
      <w:pPr>
        <w:rPr>
          <w:rFonts w:hint="eastAsia"/>
          <w:color w:val="000000"/>
        </w:rPr>
      </w:pPr>
    </w:p>
    <w:p>
      <w:pPr>
        <w:pStyle w:val="9"/>
        <w:numPr>
          <w:ilvl w:val="0"/>
          <w:numId w:val="1"/>
        </w:numPr>
        <w:rPr>
          <w:rFonts w:hint="eastAsia"/>
          <w:b/>
          <w:bCs/>
          <w:color w:val="000000"/>
          <w:lang w:val="en-US" w:eastAsia="zh-CN"/>
        </w:rPr>
      </w:pPr>
      <w:r>
        <w:rPr>
          <w:rFonts w:hint="eastAsia"/>
          <w:b/>
          <w:bCs/>
          <w:color w:val="000000"/>
          <w:lang w:val="en-US" w:eastAsia="zh-CN"/>
        </w:rPr>
        <w:t>、采购项目名称：</w:t>
      </w:r>
    </w:p>
    <w:tbl>
      <w:tblPr>
        <w:tblStyle w:val="24"/>
        <w:tblpPr w:leftFromText="180" w:rightFromText="180" w:vertAnchor="text" w:horzAnchor="page" w:tblpX="1500" w:tblpY="417"/>
        <w:tblOverlap w:val="never"/>
        <w:tblW w:w="9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7285"/>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体检管理系统项目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bl>
    <w:p>
      <w:pPr>
        <w:pStyle w:val="9"/>
        <w:widowControl w:val="0"/>
        <w:numPr>
          <w:ilvl w:val="0"/>
          <w:numId w:val="0"/>
        </w:numPr>
        <w:spacing w:after="120"/>
        <w:jc w:val="both"/>
        <w:rPr>
          <w:rFonts w:hint="eastAsia"/>
          <w:b/>
          <w:bCs/>
          <w:color w:val="000000"/>
          <w:lang w:val="en-US" w:eastAsia="zh-CN"/>
        </w:rPr>
      </w:pPr>
    </w:p>
    <w:p>
      <w:pPr>
        <w:pStyle w:val="9"/>
        <w:numPr>
          <w:ilvl w:val="0"/>
          <w:numId w:val="1"/>
        </w:numPr>
        <w:rPr>
          <w:rFonts w:hint="eastAsia"/>
          <w:b/>
          <w:bCs/>
          <w:color w:val="000000"/>
          <w:lang w:val="en-US" w:eastAsia="zh-CN"/>
        </w:rPr>
      </w:pPr>
      <w:r>
        <w:rPr>
          <w:rFonts w:hint="eastAsia"/>
          <w:b/>
          <w:bCs/>
          <w:color w:val="000000"/>
          <w:lang w:val="en-US" w:eastAsia="zh-CN"/>
        </w:rPr>
        <w:t>、采购项目清单：</w:t>
      </w:r>
    </w:p>
    <w:tbl>
      <w:tblPr>
        <w:tblStyle w:val="24"/>
        <w:tblW w:w="9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6493"/>
        <w:gridCol w:w="1100"/>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检前服务平台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健康体检管理系统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全流程智能导检系统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检后健康管理平台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5</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AI智能总检系统（人工智能AI主检系统）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5G外检系统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系统接口（LIS/HIS/PACS），以及体检中心现有的非标设备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6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预留第三方接口费（对接HIS/LIS/PACS）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6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体检自助机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6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身份证读卡器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6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条码打印机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6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多功能扫码墩</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6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报告打印装订一体机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Pr>
        <w:pStyle w:val="9"/>
        <w:widowControl w:val="0"/>
        <w:numPr>
          <w:ilvl w:val="0"/>
          <w:numId w:val="0"/>
        </w:numPr>
        <w:spacing w:after="120"/>
        <w:jc w:val="both"/>
        <w:outlineLvl w:val="2"/>
        <w:rPr>
          <w:rFonts w:hint="eastAsia"/>
          <w:b/>
          <w:bCs/>
          <w:color w:val="000000"/>
          <w:lang w:val="en-US" w:eastAsia="zh-CN"/>
        </w:rPr>
      </w:pPr>
    </w:p>
    <w:p>
      <w:pPr>
        <w:pStyle w:val="9"/>
        <w:widowControl w:val="0"/>
        <w:numPr>
          <w:ilvl w:val="0"/>
          <w:numId w:val="0"/>
        </w:numPr>
        <w:spacing w:after="120"/>
        <w:jc w:val="both"/>
        <w:outlineLvl w:val="2"/>
        <w:rPr>
          <w:rFonts w:hint="default"/>
          <w:b/>
          <w:bCs/>
          <w:color w:val="000000"/>
          <w:lang w:val="en-US" w:eastAsia="zh-CN"/>
        </w:rPr>
      </w:pPr>
      <w:r>
        <w:rPr>
          <w:rFonts w:hint="eastAsia"/>
          <w:b/>
          <w:bCs/>
          <w:color w:val="000000"/>
          <w:lang w:val="en-US" w:eastAsia="zh-CN"/>
        </w:rPr>
        <w:t>1：检前预约服务平台</w:t>
      </w:r>
    </w:p>
    <w:tbl>
      <w:tblPr>
        <w:tblStyle w:val="24"/>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245"/>
        <w:gridCol w:w="7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440" w:type="dxa"/>
            <w:gridSpan w:val="3"/>
            <w:tcBorders>
              <w:top w:val="nil"/>
              <w:left w:val="nil"/>
              <w:bottom w:val="nil"/>
              <w:right w:val="nil"/>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微信客户端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74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体检预约</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微信体检预约功能，实现体检客户微信预约体检套餐功能。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团检预约</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单位体检人员可通过微信预约体检时间，选择加项包。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问卷推套餐</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支持问卷自定义，通过问答形式量身定制推荐体检套餐。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对外宣传</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微信宣传功能，实现体检中心对外微信宣传。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费用支付</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微信支付功能，微信在线支付到医院商务号，实现付费预约功能。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报告查询</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微信查询体检报告，实现体检客户微信在线查询体检报告功能。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安全校验</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微信安全校验，通过短信验证码方式验证登录，防止机主信息泄露。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数据互通</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微信平台和体检系统接口对接，实现数据互通。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个检预约套餐支持自选加项，加项包加项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个人报告</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汇总查看个人历次健康风险评估报告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体检报告</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汇总查看个人历次体检报告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汇总查看个人历次健康监测数据记录及指标趋势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问卷记录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汇总查看个人历次问卷填写记录，以及对应分析建议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就医记录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汇总查看个人历次就医记录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汇总查看个人历次单项检查记录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用药记录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汇总查看个人历次用药记录，并支持自助上传日常用药记录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膳食方案</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汇总查看个人所有的膳食方案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运动方案</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汇总查看个人所有的运动方案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阶段总结</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汇总查看个人所有阶段总结报告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生活方式问卷</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该问卷参考中华医学会健康管理学分会发布的《健康体检基本项目专家共识》而制定，调查内容包括家族史、生活方式、心理睡眠等多方面，填写完后可生成生活方式相关的分析指导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中医体质辨识量表</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该问卷采用中华中医院学会标准的《中医体质分类与判断表》，可为个人提供体质辨识以及对应的养生指导意见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SCL90问卷</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该问卷采用国际著名的《症状自评量表SCL90》，从十个维度反映个人的心理卫生问题，并为其提供整体评价以及分析指导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其他问卷</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用于展示后台自定义添加的其他问卷量表，填写完后，可根据后台设置的评分规则显示对应的分析建议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血压监测</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汇总查看个人血压监测数据，并形成趋势图，同时支持个人自助上传监测数据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血糖监测</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汇总查看个人血糖监测数据，并形成趋势图，同时支持个人自助上传监测数据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体重监测</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汇总查看个人体重监测数据，并形成趋势图，同时支持个人自助上传监测数据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运动监测</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汇总查看个人运动压监测数据，并形成趋势图，同时支持个人自助上传监测数据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其他监测</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用于展示后台自定义添加的监测项目数据，并形成趋势图，同时支持个人自助上传监测数据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服务预约</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汇总显示个人名下所有可预约的服务项目，并支持自助预约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过期服务</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汇总显示个人名下所有已过期不可用的服务项目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汇总展示所有已使用的服务预约记录并查看服务进度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家庭关系绑定</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汇总展示个人家庭成员，支持自主绑定家庭成员，也支持取消绑定及查看授权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家人档案共享</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通过授权验证，家庭成员间可以互相查看对方的健康档案，同时支持取消授权，取消后则不再支持查看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健康咨询</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支持客户与医生或健康管理师进行在线互动，互动方式包括图片和文字，并支持查看历史聊天记录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消息通知</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支持通过IM消息，以管理医生的名义向客户发送通知消息，包括个人报告生成通知，健康提醒等内容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个人信息</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展示个人基本资料，支持上传头像以及修改部分信息内容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汇总展示个人名下所有的健康干预记录，并支持对健康管理师的健康干预服务进行满意度评价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展示所有已使用服务的安排进度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意见反馈</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支持个人提交反馈意见，包括建议、表扬、投诉等内容。并支持查看历史反馈记录，以及后台回复的处理内容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关于我们</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用于展示当前健康管理机构简介以及联系方式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干预统计</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汇总统计个人历史所有的健康干预情况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退出登录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支持退出当前登录账号并重新登录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440" w:type="dxa"/>
            <w:gridSpan w:val="3"/>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微信医生端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7430"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支持手机号验证码；支持账号密码登录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工作日历</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以工作日历的形式，对近3周有任务的日期给予红点提示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今日计划</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展示今日待完成的干预计划和服务计划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干预计划</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展示待执行的干预计划列表（支持多种条件筛选）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展示已完成的干预记录列表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服务计划</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展示待服务的服务计划列表（支持多种条件筛选）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服务记录</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展示已完成的服务记录列表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搜索查询</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支持客户姓名等关键字搜索查询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客户列表</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展示管理的客户列表及基本信息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客户主页</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展示客户的基本资料，包含姓名、性别、标签、慢病等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展示客户的健康问题列表（支持条件筛选）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展示客户的健康档案的查看（包括个人健康报告、体检报告、问卷量表、检查记录等）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展示客户的健康干预计划列表（包含未执行的计划和已执行的记录）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展示客户的服务列表（包好未执行的服务和已执行的服务记录）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多功能操作栏（支持发起在线互动、发送短信、拨打电话、新增干预等操作）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支持医生和客户之前的在线互动交流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基本信息维护</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支持医生姓名等基本资料的展示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支持医生个人资料、密码等的修改</w:t>
            </w:r>
          </w:p>
        </w:tc>
      </w:tr>
    </w:tbl>
    <w:p>
      <w:pPr>
        <w:pStyle w:val="9"/>
        <w:outlineLvl w:val="2"/>
        <w:rPr>
          <w:rFonts w:hint="default"/>
          <w:b/>
          <w:bCs/>
          <w:color w:val="000000"/>
          <w:lang w:val="en-US" w:eastAsia="zh-CN"/>
        </w:rPr>
      </w:pPr>
      <w:r>
        <w:rPr>
          <w:rFonts w:hint="eastAsia"/>
          <w:b/>
          <w:bCs/>
          <w:color w:val="000000"/>
          <w:lang w:val="en-US" w:eastAsia="zh-CN"/>
        </w:rPr>
        <w:t>2：健康体检管理系统</w:t>
      </w:r>
    </w:p>
    <w:tbl>
      <w:tblPr>
        <w:tblStyle w:val="24"/>
        <w:tblW w:w="9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1305"/>
        <w:gridCol w:w="7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功能名称</w:t>
            </w:r>
          </w:p>
        </w:tc>
        <w:tc>
          <w:tcPr>
            <w:tcW w:w="72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系统设计</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系统采用B/S框架设计，开发技术采用目前主流的php CI+Vue+mysql语言，能与移动端等平台达到无缝对接响应，实现真正的互联网高性能，以方便体检中心不断升级和长期使用，降低总体使用。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系统功能</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为体检中心所有业务的核心管理系统，必须能够完成体检业务的整体流程，涵盖团体和个人体检预约、建档、登记、收费、备单、科室体检、医技科室数据传输、收单、预总检、总检、总检审核、发放报告、档案归档等闭环式管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快捷菜单</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首页支持体检功能流程图展示，以及常用功能自定义配置，方便快速进去工作页面。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主题设置</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支持系统灵活显示方式配置，部分页面多样式交互布局选择，主题颜色选择、字体大小选择。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多种登录方式</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登录方式：系统支持账号密码登录、短信验证登录多种登录模式。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登录密码设置：支持精简密码（不做限制）和安全密码（密码长度至少6-12位，字母+数字+特殊符号）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首页自定义导航</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每个账号可以根据需求展示对应的首页。首页展示内容可以选择数据仓，财务仓，体检流程图三种模式。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业务种类</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必需能够支持多种体检类型：能够同时兼容健康体检（干部健康体检、公务员体检、普通人健康体检、从业人员体检、学生体检）体检类型。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完整流程</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检前通过电话、微信网络等各种方式体检预约、自助备单、短信提醒等功能，检中健康体检信息管理功能、超声、放射检查管理功能、自助取单功能；支持对接微信平台，短信和随访平台，实现通过微信公众号查询体检报告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排期管理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支持对总人数排期。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支持精确至时间段排期。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支持区分个人团体排期。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支持精确对不同单位客户进行排期。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支持特殊项目排期限号，特殊科室排期限号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排期渠道灵活控制：前台登记，线上预约分开控制是否限制号源。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体检登记</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支持网上、电话、现场等预约方式登记；支持套餐及增、删项目。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支持现场刷身份证新建订单及查询订单，自动抓取身份证号、性别、照片等信息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支持快速引用已有订单的项目，进行登记。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支持对订单进行折扣调整，可以设置套餐折扣，也可细化至项目折扣。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支持登记或保存时校验用户信息的准确性及唯一性。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支持登记时触发收费申请、检验检查申请。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支持读取EXCEL文件，导入单位当年来检人员名单，可以定义体检时间段，实现体检日期自由选择。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支持开始查看历次总检结论，辅助医生开单。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匿名体检</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体检登记时，对于想要保护隐私的人员，可以随机生成匿名姓名、证件号，确保信息安全。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单位体检</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支持根据关联单位-团检批次-分组-套餐的层级规划团体订单，不同批次的团检可关联同一单位。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支持根据性别、年龄、婚姻状态自动分组，支持excel导入。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支持excel表中直接定义用户分组，导入后生效，导入excel后可自动判断名字重复校验、身份证号格式错误等常见问题，并实现快速修复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可设置加项由用户付费、特定项目单位付费、限额单位付费等多种加项付费方式。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支持预约时间段及体检时间段的设置。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支持单位先体检后缴费设置。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加项/弃项管理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支持关键字、拼音首字母等多维度快速搜索项目。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项目标记男女，无法选择其他性别项目，防止误操作。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已执行项目不允许退费、未缴费项目不允许检查等流程控制。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自动判断细项重复，防止误操作（如肝三与肝五）。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备单管理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支持个人和单位的导检单、条码、医技科室的检查单的批量打印功能；并具备导检单补打操作，条码补打操作，检查单补打操作。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支持一键打印直接触发打印机，避免繁琐操作。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支持可定义导引单展示形式及展示内容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电子指引单：支持微信电子指引单各个检查科室项目检查状态和科室导引单的条码。支持查看已经检查完成的项目和未捡完项目。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支持申请单耗材维护，设置申请单耗材项目，数量。限制耗材计算次数。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项目关联</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支持体检项目之间关联关系维护，开单时选择项目A可自动带出项目B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项目互斥</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登记有项目细项的体检项目，系统自动提示互斥，不允许添加。也支持配置例外无需验证项目。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收费退费管理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1.根据业务要求支持按总金额进行收款、退款。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2.根据业务要求支持按项目明细进行收款、退款。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3.收费后获取发票号并打印发票。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4.支持按订单打折，按项目打折。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5..退费后废弃发票。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自定义收、退费</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订单支持多次、多种收费方式、任意金额缴费。流水结账方式，直至缴费完成。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结算管理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系统支持收费员日结、收费处日结、收费处月结等结算报表输出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来检确认</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体检客户到达体检中心后，使用导检单或二代身份证到前台进行来检确认，确认时会自动拍下该人员的照片，以防止替检。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自定义函数</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支持单个、多项目指标同时判断计算，产生综合诊断。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采血管理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支持标本采集登记，标本送检登记，全流程质控管理。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科室检查</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支持医生扫码自动带入体检人员信息，检查数据支持模版导入，自动生成科室小结。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支持与体重秤的数据对接，自动从设备获取结果数据，避免手工输入的差错，支持来检人员可自助进行一般检查。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支持根据阳性体征自动关联诊断，具备默认正常结果及快速录入阳性体征模板功能。支持诊断是否进小结自由配置。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支持拼音首字母、关键字等多种快速检索诊断功能，支持历史诊断和常用诊断的快捷选择。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支持阳性体征医生勾选设定，阳性体征红色显示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支持诊断及对应的意义、建议可进行修改维护。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支持小结自动生成，并且支持修改及重新添加。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体检质控</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管控：按照中华医学会健康管理学会《健康体检质量控制指南》要求，通过流程管控及质量管控，包括防替检、防漏检、防错检、防性别错误、流程任务分配、报告延期提醒、错误结论上报等功能，提高体检结果产出及时性和正确性，确保体检质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一人一号制：以身份证号为唯一识别号，并与姓名，性别绑定，确保最基本的质量控制，并为今后历年数据对比分析，做好准备。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防替检功能：通过身份证作为唯一识别ID，并对人员唯一性进行校验，防止替检。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防漏检功能：通过刷来检人员的导检单上条码，确定该人员是否所有项目检查都已经结束，如果有项目未检，则确认是否拒检，防止漏检。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防错检功能：支持与血压仪、体重秤、人体成分分析仪等体检设备对接，自动从设备获取结果数据，避免手工输入的差错，避免人工夹塞报告出错，并支持来检人员自助进行一般检查。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防性别错误：项目标记男女，无法选择其他性别项目，防止男女检查项目误操作。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防重项设置：自动判断细项重复，防止误操作（如肝三与肝五）。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标本交接管理：对实验室标本交接管理，并及时进行系统记录，与检验科病理科实现双向核对。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结果质控：科室及总检通过系统智能算法辅助判断阳性结论及诊断，提高体检诊断和体检报告的准确性。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阳性处理：科室诊断重大阳性后，系统可以通过铃铛消息，提醒医生进行一步处理，支持医生护士发送短信或者人工打电话进行处理，也可以给重大阳性患者添加随访任务，定时给客户随访。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信息安全：按照公安局信息安全认证证书要求，由专人负责体检信息系统的定期维护，保证信息系统的良好运行，防止工作人员泄露体检信息作为他用。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权限设置：设置登录账号，防止科室以外人员操作系统，并通过权限设计，设计各岗位的权限和操作界面，防止误操作和信息泄露。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日志记录：记录系统所有登陆人员的操作行为，便于分清责任，追踪溯源，避免纷争。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订单质控：可以跟踪异常流程的订单，如延期、总检超期、报告发出超期、结果超期，医生设置超期时间进行查询，首页超期提醒。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导引单</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对打印导引单客户进行扫码回收导引单操作。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回收</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系统记录回收状态，并可实时查询当日登记未回收人员，以方便对体检实现闭环管理。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订单流转管理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支持多维度分配主检、总检医生审核哪些客户。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支持多维度分配审核及打印报告的工作量。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支持记录客户订单流程数据，方便快速定位体检订单目前状态。生成完整轨迹报告，可以供管理者查询。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重大阳性提醒</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1.发现满足重大阳性的体检订单后，实时通知科室医生进行处理。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2.在接通短信接口或微信接口后，可通过短信、微信推送等告知体检者。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危急值设置：对各项目指标，设置性别、年龄、参考范围多维度危急值判断标准。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危急值提醒：检查结果产生时，自动提醒医生，某订单项目危急值提醒，可快速进去确认。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危急值跟踪：进去确认页，可以标记危急值处理状态记录处理方式和处理内容。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完检确认</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体检完成后护士收单时，标记订单完检状态，进如总检派单环节。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总检派单</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智能派单：通过设置条性别、年龄、团检等）条件，分配人员到总检医生任务列表。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手动派单：由分工医护人员，单个、批量分配完检订单到各个总检医生。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派单流程控制：三级审核各节点支持是否开启派单流程，是否开启智能派单。总检流程灵活可控。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总检、审核</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多次总检：各审核节点，支持多次保存提交。与三级审核双重质控。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三级审核：支持初审、总审、终审三级审核。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支持三级审核流程灵活配置，只开启一审、或二审、三审流程。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总检审查</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配备智能辅助诊断功能，支持自动判断冲突项，并根据多科室结果自动判断结果。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支持可定义体检结论样式。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支持可查看本次科室的体征、诊断及小结，以及可查看同系统过往历史报告，并支持报告对比。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支持总检医生发现分科或者主检错误可进行异常打回，修复完成后再次检查。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支持总检可撤销重新总检。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总检结论合并：支持选择多个阳性诊断进行合并，诊断对应的诊断解释、建议进行一起合并。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报告打印</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支持科室可定制入职、入户等不同类型个人体检报告，科室可定制团体分析报告并对展示项目进行调整。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支持医生电子签名及科室电子印章。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支持护士发现分科或者总检错误可进行异常打回，修复完成后再次打印。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支持预览、打印报告、支持下载PDF报告文件。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体检报告历年对比：可以根据近3次的体检结果数据进行汇总，出具个人体检对比报告。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团体报告:支持多个单位生成一份报告。支持团体报告可以按照区分性别生成报告、前10名阳性诊断生成报告或者自由选择阳性诊断生成报告。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电子报告查询</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支持手机端电子报告查询，并下载pdf版本电子报告。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自定义模板管理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自定义方法：系统指引单、条码、报告、申请单等模板支持word方式自定义。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模板管理：系统支持上传多个模板样式，启用模板，并支持模板增、删、改。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报告模板可以根据体检类别，使用对应类别的报告模板。比如：入职体检使用入职体检特定体检报告。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从业体检</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从业体检的订单总检可以进行审核，合格后支持健康证打印。健康证模板可以自定义。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报告存档</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存放区域管理：支持自定义维护报告存放区域基础数据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报告存取：支持报告区域存放记录、查询，支持报告领取记录，支持报告领取签名。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合同台账管理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支持合同电子化，搜索及查询电子合同。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支持合同关键信息录入及合同扫描件上传。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发票管理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自带发票管理系统进行发票管理。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支持废弃发票重新打印功能。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单位开票</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支持根据业务要求，按总金额进行开票。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支持根据业务要求，按项目明细核算开票。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支持团体负责人现场缴费及开票。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支持公对公转账后直接开票。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支持缴费错误后现场退费&amp;退票功能。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支持公对公转账错误后进行退票功能。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支持多个单位、多次团检记录合并开票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个人档案管理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支持新增、修改、删除个人档案。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支持通过身份证作为唯一识别ID，并对人员唯一性进行校验。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支持可以将人员与单位直接关联。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单位档案管理</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支持新增、修改、删除单位档案。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支持可设置单位多个层级部门。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支持单位存在唯一id，并对单位唯一性进行校验。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报表统计</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到检统计报表，统计每日不同科室的到检人员名单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数据回传结果报表，统计每日检验检查回传名单及回传结果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工作量统计报表，统计不同科室不同医生的工作量，并可以精确到具体项目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订单状态报表，统计每日的订单状态数据，及时跟进处理时间较长的订单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自定义报表，提供版本范围内其他自定义类型报表。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BI大数据分析</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科室情况分析，综合分析科室工作量，便于管理层进行考核和优化流程及科室投入配比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医生情况，综合分析医生工作量，便于管理层进行考核和优化流程及人力配比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疾病大数据分析，综合分析疾病大数据，便于医院进行数据分析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体检设置</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项目/组合/套餐设置：设置项目/组合/套餐的内容及相关属性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诊断设置：设置诊断的内容及相关属性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字典设置：设置ICD编码/民族/籍贯等字典的内容及相关属性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科室/工作组设置：设置科室/工作组的内容及相关属性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系统设置</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权限设置：设置不同角色的增删查改权限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账号设置：对账号进行增删查改，并可关联不同角色权限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参数设置：前台必填字段、分科影像检验设置、总检审核次数等系统内多维度自主配置，灵活控制体检流程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折扣权限：每个账号可以都设定一个最低折扣，账号无法打折超过最低折扣。如设置6折权限折扣，此账号无法打折到6折以下。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订单权限设置：每个账号可以设置查看订单权限，有对应权限的账号可以看到对应订单。如订单级别是干部级别，有干部权限账号可以显示订单，可以进行查看。</w:t>
            </w:r>
          </w:p>
        </w:tc>
      </w:tr>
    </w:tbl>
    <w:p>
      <w:pPr>
        <w:pStyle w:val="9"/>
        <w:rPr>
          <w:rFonts w:hint="eastAsia"/>
          <w:color w:val="000000"/>
        </w:rPr>
      </w:pPr>
    </w:p>
    <w:p>
      <w:pPr>
        <w:pStyle w:val="9"/>
        <w:outlineLvl w:val="2"/>
        <w:rPr>
          <w:rFonts w:hint="eastAsia"/>
          <w:b/>
          <w:bCs/>
          <w:color w:val="000000"/>
          <w:lang w:val="en-US" w:eastAsia="zh-CN"/>
        </w:rPr>
      </w:pPr>
      <w:r>
        <w:rPr>
          <w:rFonts w:hint="eastAsia"/>
          <w:b/>
          <w:bCs/>
          <w:color w:val="000000"/>
          <w:lang w:val="en-US" w:eastAsia="zh-CN"/>
        </w:rPr>
        <w:t>3：全流程智慧导检系统功能清单</w:t>
      </w:r>
    </w:p>
    <w:tbl>
      <w:tblPr>
        <w:tblStyle w:val="24"/>
        <w:tblW w:w="9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1200"/>
        <w:gridCol w:w="7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726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登记前台</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支持通过体检系统直接进入队列序列。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支持通过自助设备直接进入队列序列。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体检系统中做完项目的增、减后，能立即同步给导检系统并提示客户当前待检的科室名称。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导诊台（护士站）</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可独立设置科室的在线与离线状态、优先级科室，达到预排队的效果，缩短医生的闲置时间。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可灵活的调配人员队列、起到灵活的疏导。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支持插队、指定到某科室。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支持扫描条形码、二维码查询人员所在科室、并定位的所在的科室。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动态显示各科室的人员在线量以及队列变化情况。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支持独立队列与全科导检队列的同屏显示。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能够合理处理vip客户的情况，导检系统会让vip客户优先完成所有项目的检查。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调整队列时，可以指定上移、下移。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增加查询指定科室的功能，输入科室名称后，可以定位到这个科室的人员列表。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医生站</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一键呼叫“下一位”完成当前就检人员的检查状态标注的同时，呼叫下一人，同时具备“催检”、 “未到检”等辅助功能，操作简单、按键明显突出。。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支持随时扫码插队，重新调整就检人员的体检序列并重新合理规划，在保证系统化的体检流程同时，不失灵活性。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“暂停”键的设置，在考虑医生连续工作的同时，留出小息的时间。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支持非连续的可选择性的呼叫。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界面自动手动开启、不影响主业务的操作、可与各系统同时使用。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诊间屏</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可以设置LOGO、科室名称、定义字体、颜色、背景。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可显示队列顺序、人员姓名。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支持视频、图片播放及轮播。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支持安卓屏，各屏幕语音独立播报、规避了显示与发音的不同步问题，支持男女声。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支持各种尺寸、可灵活定义。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支持定时开关机，无需人员参与。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显示待检人员总人数。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区域屏</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可以设置LOGO、科室名称、定义字体、颜色、背景。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可一屏分割多个科室队列显示。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可显示队列顺序、人员姓名。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支持视频、图片播放及轮播。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支持安卓屏，各屏幕语音独立播报、规避了显示与发音的不同步问题，支持男女声。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支持各种尺寸、可灵活定义。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支持定时开关机，无需人员参与。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显示待检人员总人数。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系统设置</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可灵活设置导检科室、定义科室优先级。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可灵活设置导检项目、定义餐前、餐后、憋尿、妇检等特殊项目、设置项目检查时间，分配执行科室。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定义与体检系统的接口、实现首检科室的显示方式（在体检系统的导引单上、自助设备的窗体信息提示上，以及微信等）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微信导检</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支持通过手机微信，提醒体检客户即将就检的科室。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手机可显示体检顾客的基本信息、已检项目、未检项目。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手机可显示，提示体检客户的排队序号，大概等候时间等信息。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统计功能</w:t>
            </w: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可随时查阅，统计导检状态、以及医生工作的实效性、控制就诊的时间、评价医生的服务标准。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统计功能可以在平台和微信上实时查询，可以分科室、分项目、分管理者。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支持医生工作量及工作效率统计，检查人数、检查时间、平均检查时间、最长检查时间、最短检查时间。</w:t>
            </w:r>
          </w:p>
        </w:tc>
      </w:tr>
    </w:tbl>
    <w:p>
      <w:pPr>
        <w:pStyle w:val="9"/>
        <w:outlineLvl w:val="2"/>
        <w:rPr>
          <w:rFonts w:hint="default"/>
          <w:b/>
          <w:bCs/>
          <w:color w:val="000000"/>
          <w:lang w:val="en-US" w:eastAsia="zh-CN"/>
        </w:rPr>
      </w:pPr>
      <w:r>
        <w:rPr>
          <w:rFonts w:hint="eastAsia"/>
          <w:b/>
          <w:bCs/>
          <w:color w:val="000000"/>
          <w:lang w:val="en-US" w:eastAsia="zh-CN"/>
        </w:rPr>
        <w:t>4：检后健康管理平台</w:t>
      </w:r>
    </w:p>
    <w:tbl>
      <w:tblPr>
        <w:tblStyle w:val="24"/>
        <w:tblW w:w="9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1215"/>
        <w:gridCol w:w="7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5" w:type="dxa"/>
            <w:tcBorders>
              <w:top w:val="single" w:color="000000" w:sz="4" w:space="0"/>
              <w:left w:val="single" w:color="000000" w:sz="4" w:space="0"/>
              <w:bottom w:val="single" w:color="000000" w:sz="4" w:space="0"/>
              <w:right w:val="nil"/>
            </w:tcBorders>
            <w:shd w:val="clear" w:color="auto" w:fill="D7D7D7"/>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7311" w:type="dxa"/>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工作日历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首页以日历的形式展示当前操作者近期工作任务安排，包括健康干预、阳性跟踪以及健康服务，支持切换日历查看不同日期的具体任务，并支持点击跳转处理待办任务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异常提醒</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在首页直观显示所有需要医护人员特别关注的异常提醒，包括随访问卷异常，监测异常以及复查异常等，可点击跳转处理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分组情况</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首页直观展示当前用户名下客户分组管理情况，待审核入组人数以及管理总人数等信息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帮助中心</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包含完整的产品使用手册，可随时调阅系统操作指南并支持点击目录快速定位查阅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消息中心</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可实时接任务消息，包括监测数据提醒、服务预约提醒、客户反馈提醒等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w:t>
            </w:r>
            <w:r>
              <w:rPr>
                <w:rStyle w:val="69"/>
                <w:lang w:val="en-US" w:eastAsia="zh-CN" w:bidi="ar"/>
              </w:rPr>
              <w:t>健康画像</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以个人健康为核心，连续、动态地汇总客户所有相关的健康信息，并自动提取关键信息转化为具体的健康标签和形象的健康画像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汇总显示客户个人全部健康档案以及管理过程中产生的所有业务记录，并支持在该中心进行添加、编辑、删除等操作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w:t>
            </w:r>
            <w:r>
              <w:rPr>
                <w:rStyle w:val="69"/>
                <w:lang w:val="en-US" w:eastAsia="zh-CN" w:bidi="ar"/>
              </w:rPr>
              <w:t>干预工作台</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在个人健康中心内置干预工作台，支持快速拨号、发送短信、干预记录等操作，在干预过程中可便捷调阅客户健康档案以及近30天内的干预计划。在处理完成后，支持快速切换今日剩余待办计划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客户分组</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系统支持以疾病为分类对客户进行分组管理，在此模块可进行换组和结案操作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入组队列</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系统支持全自动分组或审核分组，在此可进行审核操作，支持一键批量审核或针对客户进行精细化调整管理方案、分组名称以及分配跟进人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智能分组器</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支持灵活设置分组名称、入组条件、对应管理方案以及跟进人等信息，客户进入系统后，可根据客户档案信息，实现客户自动入组，自动匹配管理方案，自动关联管理医生；同时也设置自动入组或审核入组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我的客户</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通过专用接口采集和手动录入建档，管理客户的全部健康档案信息。客户列表支持右键功能，可通过右键快速实现创建计划、填写问卷、添加体检报告、生成评估报告、服务登记等所有针对个人客户的快捷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可自定义设置客户分类，个人风险评估报告可以根据客户不同的类别进行自定义配置，可根据客户不同类别开展差异化健康管理服务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系统支持设置系统内客户的家庭成员结构并开展相关服务，家庭成员可通过授权在微信端相互查看并维护健康信息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团队管理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能直观显示系统内所有单位的体检和问卷填写情况，可批量修改单位属性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归并管理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可通过指定标识（如：身份证号）归并同一客户的健康档案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客户反馈</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系统支持针对客户反馈的表扬、建议、批评等信息进行集中管理。支持针对客户的反馈进行实时处理，并通过客户端即时提醒客户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系统支持体检数据一键式采集、手动添加以及模板导入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就医记录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系统支持记录客户的门诊、住院信息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用药记录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系统支持记录客户个人的用药情况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系统支持记录和管理客户门诊检查记录以及复查记录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客户手动或通过监测设备自动日常自测数据，包含体重、血压、血糖、运动，饮食，并支持自定义拓展监测项目。可针对不同疾病或个人设置监测预警值，对于异常数据系统可自动提醒对应管理师，多次数据可自动形成趋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生活方式问卷</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采用标准化健康调查问卷，基于2014版体检专家共识精炼，从家族史、既往史、现病史、生活方式等多个维度对客户健康信息进行全面的收集与分析。支持检前、检中、检后各环节通过多种终端填写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中医体质辨识量表</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采用中华中医学会标准的《中医体质分类与判断表》，支持单独生成个人中心报告，并支持医生根据客户情况出具个性化的体质调理方案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Scl90问卷</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采用国际通用的《症状自评量表SCL90》，支持单独生成个人心理报告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自定义问卷</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系统支持多种终端填写自定义问卷量表，后台支持查看问卷填写记录、得分情况，对于需要关注的异常问卷系统会根据问卷结果自动进行标记提醒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自定义问卷库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系统内置自定义维护日常管理所需的测评问卷、随访问卷、调查问卷等问卷量表，并支持设置问卷评分规则、异常预警规则等内容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自定义题库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系统支持自行维护问卷题目和配套选项，配置问卷时可直接引用题库题目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问卷编辑器</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系统内置专业问卷编辑器，具有强大定制能力，可灵活设置问卷表单以及问卷规则，支持多种复杂题型、跳题、关联宣教、异常提示、以及问卷说明等复杂规则，并支持设置多维度的问卷。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个人健康报告</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可以根据健康档案自动生成个人健康报告，包含个人健康信息汇总、重要指标趋势、健康项目对比、疾病风险评估、生活方式分析、心理评估与中医体质辨识、异常解释及健康指导。个人报告支持多级审核，审核通过的个人报告在客户端自动提醒客户，客户可进行在线浏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团体健康报告</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可以根据健康档案按参检团队或工作单位自动生成团体健康报告，包括团体健康信息汇总、重要指标分布、慢病发病风险统计、心理测评分析、人员的异常统计、体检异常TOP统计、异常人员名单等，可设置组合异常是否参与统计或是否展开统计以及异常显示的TOP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w:t>
            </w:r>
            <w:r>
              <w:rPr>
                <w:rStyle w:val="69"/>
                <w:lang w:val="en-US" w:eastAsia="zh-CN" w:bidi="ar"/>
              </w:rPr>
              <w:t>阶段总结报告</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基于管理过程中的数据积累，可为管理客户生成阶段性《健康总结报告》，包括体检指标变化、生活方式变化、接受服务统计以及医生的总结评价等内容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创建干预计划</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系统内置完善的知识库，医生可通过调用知识库模板快速生成干预计划，并支持多种创建方式，包括个性化精细创建、批量智能创建、标准模板创建。干预计划创建时支持智能避开休息日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干预计划</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汇总展示健管医生所有的待执行干预计划，支持按照计划时间定时提醒医生完成任务。计划列表按照计划的执行模式分为人工计划和自动计划，自动计划可由系统全自动执行，按照干预内容定时完成健康随访、健康宣教以及健康提醒，全程无需人工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支持针对所有已执行的干预计划进行记录管理，可以对干预内容进行补充和查看，实现健康管理可追溯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短信平台</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系统通过多种筛选条件，能对指定用户进行短信干预、随访、宣教等，包括自动发送、定时发送、批量发送短信，可以对待发短信进行调整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系统支持针对所有已发送的短信进行追溯管理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宣教记录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系统支持查看历史宣教记录，包括宣教阅读状态、阅读时间、阅读时长等信息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通话平台</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一键拨号和来去电弹屏，操作人员可以直接在电脑端拨打客户号码，采用耳麦通话，无需手动按键拨号，提高通话效率。通话方式包括人工通话和智能外呼，人工通话默认通过对接电话盒子实现通话录音和一键拨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通话记录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通话记录可查看平台所有的电话记录，支持按条件检索查询通话记录和录音回放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异常处理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包括问卷异常和监测异常，系统根据条件自动识别并汇总所有需要关注并处理的随访异常问卷以及监测异常数据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对高血压人群按照《国家基本公共卫生服务规范》专项管理，支持随访记录、进行阶段性评估并再次确定管理的等级，支持直接添加计划和结案管理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对糖尿病人群按照《国家基本公共卫生服务规范》专项管理，支持随访记录、进行阶段性评估并再次确定管理的等级，支持直接添加计划和结案管理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肥胖症管理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对肥胖病人群参考《国家基本公共卫生服务规范》专项管理，支持随访记录、进行阶段性评估并再次确定管理的等级，支持直接添加计划和结案管理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结案记录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汇总展示已结束慢病管理的客户，并可追溯相关管理记录以及结案原因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阳性预警</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支持系统自动预警以及人工手动上报，体检数据进入系统后，可按预警规则自动识别并归类。支持多样化的跟踪方式，包括人工通知，AI电话通知以及自动短信通知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回访计划</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针对需要再次回访跟进的阳性，系统可按模板规则或人工指定创建对应的回访计划，并按照计划日期定时提醒人工跟进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跟踪记录</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系统支持针对所有已跟踪的预警信息进行记录管理，支持查看跟踪记录详情，实现跟踪过程可追溯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预警配置</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系统预设四色预警模板，支持按照指标数值以及文字关键字识别预警，可根据不同阳性或不同人群设置预警等级、预警条件、回访规则、就医建议等内容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就医提醒</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系统支持按照阳性异常自动生成就医提醒计划，并支持通过自动短信或AI电话提醒客户及时就医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膳食方案</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够通过多种筛选条件，筛选出需要进行膳食管理的人群，支持针对该人群按照模板快速创建或自定义精细化设计周期性食谱。在膳食方案制定过程中，实时对比显示《中国居民膳食指南》智能推荐的营养素摄入量和当前已创建食谱所提供的营养素摄入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膳食原则</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系统内置不少于20个膳食原则模板，支持自定义维护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中医食疗</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系统内置不少于800个中医食疗配方，包含适用体质、原料、功效、制法、用法，支持自定义维护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菜谱模板</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系统内置不少于20个食谱模板，并支持营养师自定义维护个性化模板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原料库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参照《中国食物成分表》，展示常见食物原料及其具体成分占比，并支持自定义维护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成品菜</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系统内置不少于3000个菜品的成品菜库，包含各类成品菜所需食材及烹饪方法，支持自定义维护所有菜品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运动方案</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能够通过多种筛选条件，筛选出需要进行运动管理的人群，支持针对该人群按照模板快速创建或自定义精细化设计运动方案，包括运动原则、运动处方、推荐运动项目等内容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运动原则</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系统内置多个运动原则模板，支持自定义维护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运动方案模板</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系统内置不少于15种运动方案模板，支持自定义维护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运动项目库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系统内置不少于100个运动项目，支持自定义维护，包括运动图片等内容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服务登记</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系统支持为各类客户制定个性化的服务项目或服务套餐，包含服务有效期和频次的设置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服务预约</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系统可展示客户提交的各类服务预约和申请记录，支持对所有预约的服务项目进行跟踪处理和进度查看，管理师也可在后台提交客户的服务预约申请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服务项目</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系统支持自定义设置各类单个服务项目，包含适用性别、服务介绍等内容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服务套餐</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系统支持将各类单个服务项目组合成服务套餐，包含适用性别、套餐期限、套餐描述等内容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干预结果统计</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系统支持对客户的干预依从度和干预服务满意度进行双向对比分析，并支持干预总量分类统计，分别以柱状图和饼状图展示，可查看具体客户信息，数据支持导出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问卷统计</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对基础问卷、中医问卷、心理问卷的结果进行各个维度的统计分析，包含生活方式、吸烟情况、饮酒情况、膳食结构、运动情况、睡眠情况、精神压力、中医体质辨识、心理测评分析等，分别以柱状图和饼状图展示，可查看具体客户信息，数据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体检基础统计</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系统支持对体检重要指标及体检异常top10（可区分性别）进行统计,体检重要指标包含BMI、血压、血糖、血脂四项，分别以柱状图和饼状图展示，可查看具体客户信息，数据支持导出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体检拓展统计</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系统支持自定义选择统计体检项目或体检异常，创建统计任务并生成统计分析图表，可查看具体客户信息，数据支持导出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精确查询统计</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系统支持自定义组合并设置查询条件，精确查询所需要的客户数据，并支持导出或快速批量打标签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体检报告模板</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系统可根据体检套餐自定义设置体检报告录入模板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体检项目库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展示体检项目内容，支持自行配置项目的属性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体检项目匹配</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实现系统项目与机构项目的匹配对应，支持自动匹配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系统内置不少于2400条异常信息，支持异常名称、ICD10编码、解释、建议等相关内容的自定义维护，支持同一异常有多个其他名称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组合异常</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系统支持对团体报告、统计分析、风险评估等中所使用的组合异常进行个性化设置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异常名称匹配</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系统支持系统异常与机构异常的匹配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干预方案模板</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系统内置标准化疾病干预方案模板，支持自定义配置干预方案内容，包括疾病管理目标，关注指标、干预计划、打卡计划、饮食原则、运动原则等内容，为分组管理提供标准化依据，帮助机构提高服务标准化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干预计划模板</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系统内置标准化干预计划模板，干预类型包括宣教、随访和提醒，支持计划关联宣教文章、随访问卷、提醒模板，可通过多种途径自动完成推送。并支持根据不同事件触发干预，包括体检后xx天或加入计划后xx天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短信模板</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系统内置不少于1200条短信模板，支持短信模板的创建、分类等内容维护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危险因素库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系统支持自行维护问卷题目对应的危险因素及对应的建议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系统内置不少于100种常见慢病药品，支持自定义维护，维护用药记录时可直接引用药品库数据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宣教文章库</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系统内置不少于2500篇宣教素材，素材类型包括图文、视频和音频，并支持自定义维护宣教素材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标签维护</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系统支持自定义维护标签库以及标签匹配规则，客户数据进入系统后，可自动完成打标签，并可快速浏览每个标签下的客户列表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功能设置</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管理员进行机构信息的基础配置，评估模型的参数及规则配置，个人报告的封面、封底、审核及生成规则配置，团体报告的封面、封底、统计配置，阳性跟踪配置，短信自动发送配置，干预合并规则配置，膳食方案智能推荐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系统支持自定义设置不限数量的系统操作角色，并可为每个角色分配权限，权限可精确到页面的按钮级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自定义设置不限数量的系统用户，并可为每个用户分配角色，可以基于角色的权限为每位系统用户设置操作权限，可精确到页面的按钮级，并支持系统用户的管理范围设定，即不同的系统用户可以管理相对应的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评估模型设置</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系统内置慢病评估模型不少于24个，慢病评估种类不少于16个，支持机构对慢病风险评估模型适宜性别、适宜年龄、慢病介绍、参数排序、人群平均风险等进行设置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系统支持维护和管理客户居家监测设备信息，在此可进行设备的绑定和解绑操作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安全性要求</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系统具有管理层级授权机制，有完善的数据加密和备份机制，符合健康管理信息化建设要求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稳定性</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系统设计合理，整体性能优越，最大宕机时间不超过4小时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数据备份</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系统支持数据自动定时备份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日处理量</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系统日处理体检数据及生成报告可达1000人以上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并发数量</w:t>
            </w:r>
          </w:p>
        </w:tc>
        <w:tc>
          <w:tcPr>
            <w:tcW w:w="7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个人管理平台支持并发用户数可达1000人以上</w:t>
            </w:r>
          </w:p>
        </w:tc>
      </w:tr>
    </w:tbl>
    <w:p>
      <w:pPr>
        <w:pStyle w:val="9"/>
        <w:rPr>
          <w:rFonts w:hint="default"/>
          <w:color w:val="000000"/>
          <w:lang w:val="en-US" w:eastAsia="zh-CN"/>
        </w:rPr>
      </w:pPr>
    </w:p>
    <w:p>
      <w:pPr>
        <w:pStyle w:val="9"/>
        <w:outlineLvl w:val="2"/>
        <w:rPr>
          <w:rFonts w:hint="default"/>
          <w:b/>
          <w:bCs/>
          <w:color w:val="000000"/>
          <w:lang w:val="en-US" w:eastAsia="zh-CN"/>
        </w:rPr>
      </w:pPr>
      <w:r>
        <w:rPr>
          <w:rFonts w:hint="eastAsia"/>
          <w:b/>
          <w:bCs/>
          <w:color w:val="000000"/>
          <w:lang w:val="en-US" w:eastAsia="zh-CN"/>
        </w:rPr>
        <w:t>5：</w:t>
      </w:r>
      <w:r>
        <w:rPr>
          <w:rFonts w:hint="default" w:ascii="Times New Roman" w:hAnsi="Times New Roman" w:eastAsia="宋体" w:cs="Times New Roman"/>
          <w:b/>
          <w:bCs/>
          <w:i w:val="0"/>
          <w:iCs w:val="0"/>
          <w:color w:val="000000"/>
          <w:kern w:val="0"/>
          <w:sz w:val="21"/>
          <w:szCs w:val="21"/>
          <w:u w:val="none"/>
          <w:lang w:val="en-US" w:eastAsia="zh-CN" w:bidi="ar"/>
        </w:rPr>
        <w:t>AI</w:t>
      </w:r>
      <w:r>
        <w:rPr>
          <w:rFonts w:hint="eastAsia" w:ascii="宋体" w:hAnsi="宋体" w:eastAsia="宋体" w:cs="宋体"/>
          <w:b/>
          <w:bCs/>
          <w:i w:val="0"/>
          <w:iCs w:val="0"/>
          <w:color w:val="000000"/>
          <w:kern w:val="0"/>
          <w:sz w:val="21"/>
          <w:szCs w:val="21"/>
          <w:u w:val="none"/>
          <w:lang w:val="en-US" w:eastAsia="zh-CN" w:bidi="ar"/>
        </w:rPr>
        <w:t>智能总检</w:t>
      </w:r>
      <w:r>
        <w:rPr>
          <w:rFonts w:hint="eastAsia" w:ascii="宋体" w:hAnsi="宋体" w:cs="宋体"/>
          <w:b/>
          <w:bCs/>
          <w:i w:val="0"/>
          <w:iCs w:val="0"/>
          <w:color w:val="000000"/>
          <w:kern w:val="0"/>
          <w:sz w:val="21"/>
          <w:szCs w:val="21"/>
          <w:u w:val="none"/>
          <w:lang w:val="en-US" w:eastAsia="zh-CN" w:bidi="ar"/>
        </w:rPr>
        <w:t>系统（人工智能AI主检系统）</w:t>
      </w:r>
    </w:p>
    <w:tbl>
      <w:tblPr>
        <w:tblStyle w:val="24"/>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1877"/>
        <w:gridCol w:w="6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61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71"/>
                <w:rFonts w:hint="eastAsia"/>
                <w:lang w:val="en-US" w:eastAsia="zh-CN" w:bidi="ar"/>
              </w:rPr>
              <w:t>描述</w:t>
            </w:r>
          </w:p>
        </w:tc>
        <w:tc>
          <w:tcPr>
            <w:tcW w:w="6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智能总检作为一个独立的总检系统，只需获取用户体检结果数据即可实现智能总检，再将总检结果回传给体检系统，总检系统本身不做体检数据存储使用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智能总检算法功能</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（1）数据清晰：标准化项目、诊断明明规范。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（2）智能建议：根据诊断科室、诊断等级，给出个性化建议。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（3）阴性结果剔除：总检综述剔除正常结论，保留异常阳性。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（4）阳性结论排序：根据阳性登记，智能由高到低排序。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（5）结论合并：根据项目阳性结论关系，智能合并结论，给出建议。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智能总检算法</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可通过AI智能算法提升总检工作效率。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（1）根据ICD11诊断标准，综合结果指标推荐诊断；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（2）根据检查项目完整度，疑似诊断预测，复查加项推荐；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（3）诊断自动排序，根据重要程度自动上排；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（4）诊断指南出处；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（5）智能纠错：互斥诊断排除，相似诊断重点筛选；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（6）自主学习：疾病关键字相关性自主学习记录。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总检列表</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（1）总检订单任务列表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（2）总检完成记录列表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（3）总检记录查询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（4）总检状态查询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智能总检</w:t>
            </w:r>
            <w:r>
              <w:rPr>
                <w:rFonts w:hint="default" w:ascii="Times New Roman" w:hAnsi="Times New Roman" w:eastAsia="宋体" w:cs="Times New Roman"/>
                <w:i w:val="0"/>
                <w:iCs w:val="0"/>
                <w:color w:val="000000"/>
                <w:kern w:val="0"/>
                <w:sz w:val="21"/>
                <w:szCs w:val="21"/>
                <w:u w:val="none"/>
                <w:lang w:val="en-US" w:eastAsia="zh-CN" w:bidi="ar"/>
              </w:rPr>
              <w:t>&gt;</w:t>
            </w:r>
            <w:r>
              <w:rPr>
                <w:rFonts w:hint="eastAsia" w:ascii="宋体" w:hAnsi="宋体" w:eastAsia="宋体" w:cs="宋体"/>
                <w:i w:val="0"/>
                <w:iCs w:val="0"/>
                <w:color w:val="000000"/>
                <w:kern w:val="0"/>
                <w:sz w:val="21"/>
                <w:szCs w:val="21"/>
                <w:u w:val="none"/>
                <w:lang w:val="en-US" w:eastAsia="zh-CN" w:bidi="ar"/>
              </w:rPr>
              <w:t>医生确认</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智能总检优先计算后呈现给医生，医生需要确认总检结论。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综述自定义新增、编辑、删除；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影像检查所见预览辅助诊断；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结论建议新增、编辑、删除；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结论建议手动合并、拆分；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结论建议拖动排序，综述对应排序；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总检结论初始化；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总检撤回。</w:t>
            </w:r>
          </w:p>
        </w:tc>
      </w:tr>
    </w:tbl>
    <w:p/>
    <w:p>
      <w:pPr>
        <w:pStyle w:val="9"/>
        <w:outlineLvl w:val="2"/>
        <w:rPr>
          <w:rFonts w:hint="eastAsia"/>
          <w:b/>
          <w:bCs/>
          <w:color w:val="000000"/>
          <w:lang w:val="en-US" w:eastAsia="zh-CN"/>
        </w:rPr>
      </w:pPr>
    </w:p>
    <w:p>
      <w:pPr>
        <w:pStyle w:val="9"/>
        <w:outlineLvl w:val="2"/>
        <w:rPr>
          <w:rFonts w:hint="default"/>
          <w:b/>
          <w:bCs/>
          <w:color w:val="000000"/>
          <w:lang w:val="en-US" w:eastAsia="zh-CN"/>
        </w:rPr>
      </w:pPr>
      <w:r>
        <w:rPr>
          <w:rFonts w:hint="eastAsia"/>
          <w:b/>
          <w:bCs/>
          <w:color w:val="000000"/>
          <w:lang w:val="en-US" w:eastAsia="zh-CN"/>
        </w:rPr>
        <w:t>6：5G外检模块</w:t>
      </w:r>
    </w:p>
    <w:tbl>
      <w:tblPr>
        <w:tblStyle w:val="24"/>
        <w:tblW w:w="9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1208"/>
        <w:gridCol w:w="7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2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727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Style w:val="70"/>
                <w:rFonts w:eastAsia="宋体"/>
                <w:lang w:val="en-US" w:eastAsia="zh-CN" w:bidi="ar"/>
              </w:rPr>
              <w:t>5G</w:t>
            </w:r>
            <w:r>
              <w:rPr>
                <w:rFonts w:hint="eastAsia" w:ascii="宋体" w:hAnsi="宋体" w:eastAsia="宋体" w:cs="宋体"/>
                <w:i w:val="0"/>
                <w:iCs w:val="0"/>
                <w:color w:val="000000"/>
                <w:kern w:val="0"/>
                <w:sz w:val="21"/>
                <w:szCs w:val="21"/>
                <w:u w:val="none"/>
                <w:lang w:val="en-US" w:eastAsia="zh-CN" w:bidi="ar"/>
              </w:rPr>
              <w:t>外检</w:t>
            </w:r>
          </w:p>
        </w:tc>
        <w:tc>
          <w:tcPr>
            <w:tcW w:w="7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Style w:val="70"/>
                <w:rFonts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绑定：支持维护外体检出电脑的</w:t>
            </w:r>
            <w:r>
              <w:rPr>
                <w:rStyle w:val="70"/>
                <w:rFonts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物理地址。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7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数据安全：外出电脑通过外网，访问前置机进行登录，验证</w:t>
            </w:r>
            <w:r>
              <w:rPr>
                <w:rStyle w:val="70"/>
                <w:rFonts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地址，验证成功后可以直接访问内网系统。</w:t>
            </w:r>
          </w:p>
        </w:tc>
      </w:tr>
    </w:tbl>
    <w:p>
      <w:pPr>
        <w:pStyle w:val="9"/>
        <w:outlineLvl w:val="9"/>
        <w:rPr>
          <w:rFonts w:hint="eastAsia"/>
          <w:color w:val="000000"/>
          <w:lang w:val="en-US" w:eastAsia="zh-CN"/>
        </w:rPr>
      </w:pPr>
    </w:p>
    <w:p>
      <w:pPr>
        <w:pStyle w:val="9"/>
        <w:outlineLvl w:val="2"/>
        <w:rPr>
          <w:rFonts w:hint="default"/>
          <w:b/>
          <w:bCs/>
          <w:color w:val="000000"/>
          <w:lang w:val="en-US" w:eastAsia="zh-CN"/>
        </w:rPr>
      </w:pPr>
      <w:r>
        <w:rPr>
          <w:rFonts w:hint="eastAsia"/>
          <w:b/>
          <w:bCs/>
          <w:color w:val="000000"/>
          <w:lang w:val="en-US" w:eastAsia="zh-CN"/>
        </w:rPr>
        <w:t>7：接口部分</w:t>
      </w:r>
    </w:p>
    <w:tbl>
      <w:tblPr>
        <w:tblStyle w:val="24"/>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1881"/>
        <w:gridCol w:w="6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2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8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63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HIS系统接口</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实现与HIS系统接口对接，数据接收。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LIS系统接口</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实现与LIS系统接口对接，数据接收。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PACS系统接口</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实现与PACS系统接口对接，数据接收。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仪器设备接口</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实现与动脉硬化、骨密度、心电图体检设备接口对接，数据接收</w:t>
            </w:r>
            <w:r>
              <w:rPr>
                <w:rFonts w:hint="eastAsia" w:ascii="宋体" w:hAnsi="宋体" w:cs="宋体"/>
                <w:i w:val="0"/>
                <w:iCs w:val="0"/>
                <w:color w:val="000000"/>
                <w:kern w:val="0"/>
                <w:sz w:val="24"/>
                <w:szCs w:val="24"/>
                <w:u w:val="none"/>
                <w:lang w:val="en-US" w:eastAsia="zh-CN" w:bidi="ar"/>
              </w:rPr>
              <w:t>，10台</w:t>
            </w:r>
          </w:p>
        </w:tc>
      </w:tr>
    </w:tbl>
    <w:p>
      <w:pPr>
        <w:pStyle w:val="9"/>
        <w:rPr>
          <w:rFonts w:hint="default"/>
          <w:color w:val="000000"/>
          <w:lang w:val="en-US" w:eastAsia="zh-CN"/>
        </w:rPr>
      </w:pPr>
    </w:p>
    <w:p>
      <w:pPr>
        <w:pStyle w:val="9"/>
        <w:outlineLvl w:val="2"/>
        <w:rPr>
          <w:rFonts w:hint="default"/>
          <w:b/>
          <w:bCs/>
          <w:color w:val="000000"/>
          <w:lang w:val="en-US" w:eastAsia="zh-CN"/>
        </w:rPr>
      </w:pPr>
      <w:r>
        <w:rPr>
          <w:rFonts w:hint="eastAsia"/>
          <w:b/>
          <w:bCs/>
          <w:color w:val="000000"/>
          <w:lang w:val="en-US" w:eastAsia="zh-CN"/>
        </w:rPr>
        <w:t>8：</w:t>
      </w:r>
      <w:r>
        <w:rPr>
          <w:rFonts w:hint="eastAsia" w:ascii="宋体" w:hAnsi="宋体" w:eastAsia="宋体" w:cs="宋体"/>
          <w:b/>
          <w:bCs/>
          <w:i w:val="0"/>
          <w:iCs w:val="0"/>
          <w:color w:val="000000"/>
          <w:kern w:val="0"/>
          <w:sz w:val="22"/>
          <w:szCs w:val="22"/>
          <w:u w:val="none"/>
          <w:lang w:val="en-US" w:eastAsia="zh-CN" w:bidi="ar"/>
        </w:rPr>
        <w:t>预留第三方接口费</w:t>
      </w:r>
    </w:p>
    <w:tbl>
      <w:tblPr>
        <w:tblStyle w:val="24"/>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2132"/>
        <w:gridCol w:w="6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5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3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预留第三方接口费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预留对接第三方HIS/LIS/PACS等系统的接口费用</w:t>
            </w:r>
          </w:p>
        </w:tc>
      </w:tr>
    </w:tbl>
    <w:p>
      <w:pPr>
        <w:pStyle w:val="9"/>
        <w:rPr>
          <w:rFonts w:hint="default"/>
          <w:color w:val="000000"/>
          <w:lang w:val="en-US" w:eastAsia="zh-CN"/>
        </w:rPr>
      </w:pPr>
    </w:p>
    <w:p>
      <w:pPr>
        <w:pStyle w:val="9"/>
        <w:outlineLvl w:val="2"/>
        <w:rPr>
          <w:rFonts w:hint="eastAsia" w:ascii="宋体" w:hAnsi="宋体" w:eastAsia="宋体" w:cs="宋体"/>
          <w:b/>
          <w:bCs/>
          <w:i w:val="0"/>
          <w:iCs w:val="0"/>
          <w:color w:val="000000"/>
          <w:kern w:val="0"/>
          <w:sz w:val="22"/>
          <w:szCs w:val="22"/>
          <w:u w:val="none"/>
          <w:lang w:val="en-US" w:eastAsia="zh-CN" w:bidi="ar"/>
        </w:rPr>
      </w:pPr>
      <w:r>
        <w:rPr>
          <w:rFonts w:hint="eastAsia"/>
          <w:b/>
          <w:bCs/>
          <w:color w:val="000000"/>
          <w:lang w:val="en-US" w:eastAsia="zh-CN"/>
        </w:rPr>
        <w:t>9：</w:t>
      </w:r>
      <w:r>
        <w:rPr>
          <w:rFonts w:hint="eastAsia" w:ascii="宋体" w:hAnsi="宋体" w:eastAsia="宋体" w:cs="宋体"/>
          <w:b/>
          <w:bCs/>
          <w:i w:val="0"/>
          <w:iCs w:val="0"/>
          <w:color w:val="000000"/>
          <w:kern w:val="0"/>
          <w:sz w:val="22"/>
          <w:szCs w:val="22"/>
          <w:u w:val="none"/>
          <w:lang w:val="en-US" w:eastAsia="zh-CN" w:bidi="ar"/>
        </w:rPr>
        <w:t>体检自助机</w:t>
      </w:r>
    </w:p>
    <w:tbl>
      <w:tblPr>
        <w:tblStyle w:val="24"/>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1881"/>
        <w:gridCol w:w="6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92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8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63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体检自助机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用于前台体检登记、打印指引单、条形码等功能</w:t>
            </w:r>
          </w:p>
        </w:tc>
      </w:tr>
    </w:tbl>
    <w:p>
      <w:pPr>
        <w:pStyle w:val="9"/>
        <w:outlineLvl w:val="2"/>
        <w:rPr>
          <w:rFonts w:hint="default" w:ascii="宋体" w:hAnsi="宋体" w:eastAsia="宋体" w:cs="宋体"/>
          <w:b/>
          <w:bCs/>
          <w:i w:val="0"/>
          <w:iCs w:val="0"/>
          <w:color w:val="000000"/>
          <w:kern w:val="0"/>
          <w:sz w:val="22"/>
          <w:szCs w:val="22"/>
          <w:u w:val="none"/>
          <w:lang w:val="en-US" w:eastAsia="zh-CN" w:bidi="ar"/>
        </w:rPr>
      </w:pPr>
    </w:p>
    <w:p>
      <w:pPr>
        <w:pStyle w:val="9"/>
        <w:outlineLvl w:val="2"/>
        <w:rPr>
          <w:rFonts w:hint="eastAsia" w:ascii="宋体" w:hAnsi="宋体" w:eastAsia="宋体" w:cs="宋体"/>
          <w:b/>
          <w:bCs/>
          <w:i w:val="0"/>
          <w:iCs w:val="0"/>
          <w:color w:val="000000"/>
          <w:kern w:val="0"/>
          <w:sz w:val="22"/>
          <w:szCs w:val="22"/>
          <w:u w:val="none"/>
          <w:lang w:val="en-US" w:eastAsia="zh-CN" w:bidi="ar"/>
        </w:rPr>
      </w:pPr>
      <w:r>
        <w:rPr>
          <w:rFonts w:hint="eastAsia"/>
          <w:b/>
          <w:bCs/>
          <w:color w:val="000000"/>
          <w:lang w:val="en-US" w:eastAsia="zh-CN"/>
        </w:rPr>
        <w:t>10：</w:t>
      </w:r>
      <w:r>
        <w:rPr>
          <w:rFonts w:hint="eastAsia" w:ascii="宋体" w:hAnsi="宋体" w:eastAsia="宋体" w:cs="宋体"/>
          <w:b/>
          <w:bCs/>
          <w:i w:val="0"/>
          <w:iCs w:val="0"/>
          <w:color w:val="000000"/>
          <w:kern w:val="0"/>
          <w:sz w:val="22"/>
          <w:szCs w:val="22"/>
          <w:u w:val="none"/>
          <w:lang w:val="en-US" w:eastAsia="zh-CN" w:bidi="ar"/>
        </w:rPr>
        <w:t>身份证读卡器</w:t>
      </w:r>
    </w:p>
    <w:tbl>
      <w:tblPr>
        <w:tblStyle w:val="24"/>
        <w:tblW w:w="9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740"/>
        <w:gridCol w:w="6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83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身份证读卡器</w:t>
            </w:r>
          </w:p>
        </w:tc>
        <w:tc>
          <w:tcPr>
            <w:tcW w:w="6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用于前台读取体检者的基本信息，实现快速登记的功能</w:t>
            </w:r>
          </w:p>
        </w:tc>
      </w:tr>
    </w:tbl>
    <w:p>
      <w:pPr>
        <w:pStyle w:val="9"/>
        <w:outlineLvl w:val="2"/>
        <w:rPr>
          <w:rFonts w:hint="default" w:ascii="宋体" w:hAnsi="宋体" w:eastAsia="宋体" w:cs="宋体"/>
          <w:b/>
          <w:bCs/>
          <w:i w:val="0"/>
          <w:iCs w:val="0"/>
          <w:color w:val="000000"/>
          <w:kern w:val="0"/>
          <w:sz w:val="22"/>
          <w:szCs w:val="22"/>
          <w:u w:val="none"/>
          <w:lang w:val="en-US" w:eastAsia="zh-CN" w:bidi="ar"/>
        </w:rPr>
      </w:pPr>
    </w:p>
    <w:p>
      <w:pPr>
        <w:pStyle w:val="9"/>
        <w:outlineLvl w:val="2"/>
        <w:rPr>
          <w:rFonts w:hint="eastAsia" w:ascii="宋体" w:hAnsi="宋体" w:eastAsia="宋体" w:cs="宋体"/>
          <w:b/>
          <w:bCs/>
          <w:i w:val="0"/>
          <w:iCs w:val="0"/>
          <w:color w:val="000000"/>
          <w:kern w:val="0"/>
          <w:sz w:val="22"/>
          <w:szCs w:val="22"/>
          <w:u w:val="none"/>
          <w:lang w:val="en-US" w:eastAsia="zh-CN" w:bidi="ar"/>
        </w:rPr>
      </w:pPr>
      <w:r>
        <w:rPr>
          <w:rFonts w:hint="eastAsia"/>
          <w:b/>
          <w:bCs/>
          <w:color w:val="000000"/>
          <w:lang w:val="en-US" w:eastAsia="zh-CN"/>
        </w:rPr>
        <w:t>11：</w:t>
      </w:r>
      <w:r>
        <w:rPr>
          <w:rFonts w:hint="eastAsia" w:ascii="宋体" w:hAnsi="宋体" w:eastAsia="宋体" w:cs="宋体"/>
          <w:b/>
          <w:bCs/>
          <w:i w:val="0"/>
          <w:iCs w:val="0"/>
          <w:color w:val="000000"/>
          <w:kern w:val="0"/>
          <w:sz w:val="22"/>
          <w:szCs w:val="22"/>
          <w:u w:val="none"/>
          <w:lang w:val="en-US" w:eastAsia="zh-CN" w:bidi="ar"/>
        </w:rPr>
        <w:t>条码打印机</w:t>
      </w:r>
    </w:p>
    <w:tbl>
      <w:tblPr>
        <w:tblStyle w:val="24"/>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740"/>
        <w:gridCol w:w="6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82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条码打印机</w:t>
            </w:r>
          </w:p>
        </w:tc>
        <w:tc>
          <w:tcPr>
            <w:tcW w:w="6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用于前台打印体检者的条码</w:t>
            </w:r>
          </w:p>
        </w:tc>
      </w:tr>
    </w:tbl>
    <w:p>
      <w:pPr>
        <w:pStyle w:val="9"/>
        <w:outlineLvl w:val="2"/>
        <w:rPr>
          <w:rFonts w:hint="default" w:ascii="宋体" w:hAnsi="宋体" w:eastAsia="宋体" w:cs="宋体"/>
          <w:b/>
          <w:bCs/>
          <w:i w:val="0"/>
          <w:iCs w:val="0"/>
          <w:color w:val="000000"/>
          <w:kern w:val="0"/>
          <w:sz w:val="22"/>
          <w:szCs w:val="22"/>
          <w:u w:val="none"/>
          <w:lang w:val="en-US" w:eastAsia="zh-CN" w:bidi="ar"/>
        </w:rPr>
      </w:pPr>
    </w:p>
    <w:p>
      <w:pPr>
        <w:pStyle w:val="9"/>
        <w:outlineLvl w:val="2"/>
        <w:rPr>
          <w:rFonts w:hint="eastAsia" w:ascii="宋体" w:hAnsi="宋体" w:eastAsia="宋体" w:cs="宋体"/>
          <w:b/>
          <w:bCs/>
          <w:i w:val="0"/>
          <w:iCs w:val="0"/>
          <w:color w:val="000000"/>
          <w:kern w:val="0"/>
          <w:sz w:val="22"/>
          <w:szCs w:val="22"/>
          <w:u w:val="none"/>
          <w:lang w:val="en-US" w:eastAsia="zh-CN" w:bidi="ar"/>
        </w:rPr>
      </w:pPr>
      <w:r>
        <w:rPr>
          <w:rFonts w:hint="eastAsia"/>
          <w:b/>
          <w:bCs/>
          <w:color w:val="000000"/>
          <w:lang w:val="en-US" w:eastAsia="zh-CN"/>
        </w:rPr>
        <w:t>12：</w:t>
      </w:r>
      <w:r>
        <w:rPr>
          <w:rFonts w:hint="eastAsia" w:ascii="宋体" w:hAnsi="宋体" w:eastAsia="宋体" w:cs="宋体"/>
          <w:b/>
          <w:bCs/>
          <w:i w:val="0"/>
          <w:iCs w:val="0"/>
          <w:color w:val="000000"/>
          <w:kern w:val="0"/>
          <w:sz w:val="22"/>
          <w:szCs w:val="22"/>
          <w:u w:val="none"/>
          <w:lang w:val="en-US" w:eastAsia="zh-CN" w:bidi="ar"/>
        </w:rPr>
        <w:t>多功能扫码墩</w:t>
      </w:r>
    </w:p>
    <w:tbl>
      <w:tblPr>
        <w:tblStyle w:val="24"/>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740"/>
        <w:gridCol w:w="6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82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多功能扫码墩</w:t>
            </w:r>
          </w:p>
        </w:tc>
        <w:tc>
          <w:tcPr>
            <w:tcW w:w="6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通过扫码墩快速识别体检者信息</w:t>
            </w:r>
          </w:p>
        </w:tc>
      </w:tr>
    </w:tbl>
    <w:p>
      <w:pPr>
        <w:pStyle w:val="9"/>
        <w:outlineLvl w:val="2"/>
        <w:rPr>
          <w:rFonts w:hint="default" w:ascii="宋体" w:hAnsi="宋体" w:eastAsia="宋体" w:cs="宋体"/>
          <w:b/>
          <w:bCs/>
          <w:i w:val="0"/>
          <w:iCs w:val="0"/>
          <w:color w:val="000000"/>
          <w:kern w:val="0"/>
          <w:sz w:val="22"/>
          <w:szCs w:val="22"/>
          <w:u w:val="none"/>
          <w:lang w:val="en-US" w:eastAsia="zh-CN" w:bidi="ar"/>
        </w:rPr>
      </w:pPr>
    </w:p>
    <w:p>
      <w:pPr>
        <w:pStyle w:val="9"/>
        <w:outlineLvl w:val="2"/>
        <w:rPr>
          <w:rFonts w:hint="default"/>
          <w:b/>
          <w:bCs/>
          <w:color w:val="000000"/>
          <w:lang w:val="en-US" w:eastAsia="zh-CN"/>
        </w:rPr>
      </w:pPr>
      <w:r>
        <w:rPr>
          <w:rFonts w:hint="eastAsia"/>
          <w:b/>
          <w:bCs/>
          <w:color w:val="000000"/>
          <w:lang w:val="en-US" w:eastAsia="zh-CN"/>
        </w:rPr>
        <w:t>13：</w:t>
      </w:r>
      <w:r>
        <w:rPr>
          <w:rFonts w:hint="eastAsia" w:ascii="宋体" w:hAnsi="宋体" w:eastAsia="宋体" w:cs="宋体"/>
          <w:b/>
          <w:bCs/>
          <w:i w:val="0"/>
          <w:iCs w:val="0"/>
          <w:color w:val="000000"/>
          <w:kern w:val="0"/>
          <w:sz w:val="22"/>
          <w:szCs w:val="22"/>
          <w:u w:val="none"/>
          <w:lang w:val="en-US" w:eastAsia="zh-CN" w:bidi="ar"/>
        </w:rPr>
        <w:t>报告打印装订一体机</w:t>
      </w:r>
    </w:p>
    <w:tbl>
      <w:tblPr>
        <w:tblStyle w:val="24"/>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196"/>
        <w:gridCol w:w="6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64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报告打印装订一体机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批量打印体检者报告、实现打印装订一体。</w:t>
            </w:r>
          </w:p>
        </w:tc>
      </w:tr>
    </w:tbl>
    <w:p>
      <w:pPr>
        <w:pStyle w:val="9"/>
        <w:rPr>
          <w:rFonts w:hint="default"/>
          <w:color w:val="000000"/>
          <w:lang w:val="en-US" w:eastAsia="zh-CN"/>
        </w:rPr>
      </w:pPr>
    </w:p>
    <w:p>
      <w:pPr>
        <w:pStyle w:val="9"/>
        <w:numPr>
          <w:ilvl w:val="0"/>
          <w:numId w:val="0"/>
        </w:numPr>
        <w:rPr>
          <w:rFonts w:hint="eastAsia"/>
          <w:b/>
          <w:bCs/>
          <w:color w:val="000000"/>
          <w:lang w:val="en-US" w:eastAsia="zh-CN"/>
        </w:rPr>
      </w:pPr>
      <w:r>
        <w:rPr>
          <w:rFonts w:hint="eastAsia"/>
          <w:b/>
          <w:bCs/>
          <w:color w:val="000000"/>
          <w:lang w:val="en-US" w:eastAsia="zh-CN"/>
        </w:rPr>
        <w:t>（2）采购服务需求：</w:t>
      </w:r>
    </w:p>
    <w:p>
      <w:pPr>
        <w:pStyle w:val="9"/>
        <w:spacing w:line="360" w:lineRule="auto"/>
        <w:rPr>
          <w:rFonts w:hint="eastAsia" w:ascii="宋体" w:hAnsi="宋体" w:eastAsia="宋体"/>
        </w:rPr>
      </w:pPr>
      <w:r>
        <w:rPr>
          <w:rFonts w:hint="eastAsia" w:ascii="宋体" w:hAnsi="宋体" w:eastAsia="宋体"/>
        </w:rPr>
        <w:t>①售后服务：为用户提供免费培训服务，保证该项目按时正式稳定地运行，并承诺提供壹年免费维保服务；提供全方位的服务，包括技术咨询、操作培训、系统维护、数据优化等；为本项目成立专项</w:t>
      </w:r>
      <w:r>
        <w:rPr>
          <w:rFonts w:hint="eastAsia" w:ascii="宋体" w:hAnsi="宋体"/>
          <w:color w:val="FF0000"/>
          <w:lang w:val="en-US" w:eastAsia="zh-CN"/>
        </w:rPr>
        <w:t>本地化的</w:t>
      </w:r>
      <w:r>
        <w:rPr>
          <w:rFonts w:hint="eastAsia" w:ascii="宋体" w:hAnsi="宋体" w:eastAsia="宋体"/>
        </w:rPr>
        <w:t>服务团队，以确保售后服务畅通和高效。</w:t>
      </w:r>
    </w:p>
    <w:p>
      <w:pPr>
        <w:pStyle w:val="9"/>
        <w:spacing w:line="360" w:lineRule="auto"/>
        <w:rPr>
          <w:rFonts w:hint="eastAsia" w:ascii="宋体" w:hAnsi="宋体" w:eastAsia="宋体"/>
        </w:rPr>
      </w:pPr>
      <w:r>
        <w:rPr>
          <w:rFonts w:hint="eastAsia" w:ascii="宋体" w:hAnsi="宋体" w:eastAsia="宋体"/>
        </w:rPr>
        <w:t>②知识产权：保证采购人在使用服务或设备的任何部分时不受任何关于侵犯所有权和工业产权、著作权（版权）等知识产权的指控。如果任</w:t>
      </w:r>
      <w:bookmarkStart w:id="10" w:name="_GoBack"/>
      <w:bookmarkEnd w:id="10"/>
      <w:r>
        <w:rPr>
          <w:rFonts w:hint="eastAsia" w:ascii="宋体" w:hAnsi="宋体" w:eastAsia="宋体"/>
        </w:rPr>
        <w:t>何第三方提出侵权指控，成交供应商承担一切与之有关的责任。</w:t>
      </w:r>
    </w:p>
    <w:p>
      <w:pPr>
        <w:pStyle w:val="9"/>
        <w:spacing w:line="360" w:lineRule="auto"/>
        <w:rPr>
          <w:rFonts w:hint="eastAsia" w:ascii="宋体" w:hAnsi="宋体" w:eastAsia="宋体"/>
        </w:rPr>
      </w:pPr>
      <w:r>
        <w:rPr>
          <w:rFonts w:hint="eastAsia" w:ascii="宋体" w:hAnsi="宋体"/>
          <w:lang w:val="en-US" w:eastAsia="zh-CN"/>
        </w:rPr>
        <w:t>③</w:t>
      </w:r>
      <w:r>
        <w:rPr>
          <w:rFonts w:hint="eastAsia" w:ascii="宋体" w:hAnsi="宋体" w:eastAsia="宋体"/>
        </w:rPr>
        <w:t>报价要求：报价为完成该项目并经过验收合格交付使用过程中所有可能发生的一切费用，包含但不限于项目主辅材料费、机械设备费用、人工费、检验校核、劳保、税金、验收费用、保修服务等一切费用。</w:t>
      </w:r>
    </w:p>
    <w:p>
      <w:pPr>
        <w:pStyle w:val="9"/>
        <w:rPr>
          <w:rFonts w:hint="eastAsia"/>
          <w:color w:val="000000"/>
        </w:rPr>
      </w:pPr>
    </w:p>
    <w:p>
      <w:pPr>
        <w:pStyle w:val="9"/>
        <w:rPr>
          <w:rFonts w:hint="eastAsia"/>
          <w:color w:val="000000"/>
        </w:rPr>
      </w:pPr>
    </w:p>
    <w:p>
      <w:pPr>
        <w:pStyle w:val="2"/>
        <w:spacing w:before="0" w:after="0" w:line="460" w:lineRule="exact"/>
        <w:ind w:left="0" w:leftChars="0" w:firstLine="0" w:firstLineChars="0"/>
        <w:jc w:val="both"/>
        <w:rPr>
          <w:color w:val="000000"/>
        </w:rPr>
      </w:pPr>
      <w:r>
        <w:rPr>
          <w:rFonts w:hint="eastAsia"/>
          <w:color w:val="000000"/>
        </w:rPr>
        <w:t>四、法定代表人授权书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2"/>
        <w:tabs>
          <w:tab w:val="center" w:pos="5076"/>
          <w:tab w:val="left" w:pos="8445"/>
        </w:tabs>
        <w:ind w:firstLine="0"/>
        <w:rPr>
          <w:color w:val="000000"/>
          <w:kern w:val="0"/>
        </w:rPr>
      </w:pPr>
      <w:r>
        <w:rPr>
          <w:rFonts w:hint="eastAsia"/>
          <w:color w:val="000000"/>
          <w:kern w:val="0"/>
        </w:rPr>
        <w:t>五、承诺书</w:t>
      </w: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color w:val="000000"/>
          <w:kern w:val="0"/>
        </w:rPr>
      </w:pPr>
    </w:p>
    <w:p>
      <w:pPr>
        <w:pStyle w:val="2"/>
        <w:tabs>
          <w:tab w:val="center" w:pos="5076"/>
          <w:tab w:val="left" w:pos="8445"/>
        </w:tabs>
        <w:ind w:firstLine="0"/>
        <w:rPr>
          <w:rFonts w:hAnsi="宋体" w:cs="宋体"/>
          <w:color w:val="000000"/>
          <w:kern w:val="0"/>
          <w:sz w:val="27"/>
          <w:szCs w:val="27"/>
        </w:rPr>
      </w:pPr>
      <w:r>
        <w:rPr>
          <w:rFonts w:hint="eastAsia"/>
          <w:color w:val="000000"/>
          <w:kern w:val="0"/>
        </w:rPr>
        <w:t>六、响应供应商关于无重大违法记录书面声明函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2"/>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2"/>
        <w:rPr>
          <w:kern w:val="0"/>
        </w:rPr>
      </w:pPr>
      <w:r>
        <w:rPr>
          <w:rFonts w:hint="eastAsia"/>
          <w:kern w:val="0"/>
        </w:rPr>
        <w:t>七、响应供应商资格证明文件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八、其他证明文件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AF9BA"/>
    <w:multiLevelType w:val="singleLevel"/>
    <w:tmpl w:val="56FAF9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0BA4"/>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5ECA"/>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5FC6"/>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414"/>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3F8"/>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579CF"/>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8C0"/>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2C4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2D2B"/>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28A8"/>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2B1"/>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4535A0"/>
    <w:rsid w:val="02881E0B"/>
    <w:rsid w:val="029C7664"/>
    <w:rsid w:val="02F9334A"/>
    <w:rsid w:val="03217B69"/>
    <w:rsid w:val="04697A1A"/>
    <w:rsid w:val="0482288A"/>
    <w:rsid w:val="05791EDF"/>
    <w:rsid w:val="05C068EB"/>
    <w:rsid w:val="06C64923"/>
    <w:rsid w:val="07683FB9"/>
    <w:rsid w:val="079A5E3E"/>
    <w:rsid w:val="08626C5A"/>
    <w:rsid w:val="08A2174C"/>
    <w:rsid w:val="08BC0A60"/>
    <w:rsid w:val="094B46B8"/>
    <w:rsid w:val="09B94F9F"/>
    <w:rsid w:val="0A072DB6"/>
    <w:rsid w:val="0A782765"/>
    <w:rsid w:val="0BAE2C4D"/>
    <w:rsid w:val="0CD21ED4"/>
    <w:rsid w:val="0CD93263"/>
    <w:rsid w:val="0CF85DDF"/>
    <w:rsid w:val="0D046532"/>
    <w:rsid w:val="0D3B4EBB"/>
    <w:rsid w:val="0D51729D"/>
    <w:rsid w:val="0F852286"/>
    <w:rsid w:val="103D6CFD"/>
    <w:rsid w:val="10AB4F16"/>
    <w:rsid w:val="10BE3B33"/>
    <w:rsid w:val="11F31059"/>
    <w:rsid w:val="12C50511"/>
    <w:rsid w:val="12FE3A23"/>
    <w:rsid w:val="132B2696"/>
    <w:rsid w:val="13DB5B12"/>
    <w:rsid w:val="14C15480"/>
    <w:rsid w:val="14C91E0F"/>
    <w:rsid w:val="16657A77"/>
    <w:rsid w:val="17AF353E"/>
    <w:rsid w:val="18383533"/>
    <w:rsid w:val="188F4DBC"/>
    <w:rsid w:val="19E2098A"/>
    <w:rsid w:val="1ACC7CD2"/>
    <w:rsid w:val="1AD11A1D"/>
    <w:rsid w:val="1BB630ED"/>
    <w:rsid w:val="1C2F4C4D"/>
    <w:rsid w:val="1C395ACC"/>
    <w:rsid w:val="1CC57360"/>
    <w:rsid w:val="1D9550BF"/>
    <w:rsid w:val="1D9F5E03"/>
    <w:rsid w:val="201369F7"/>
    <w:rsid w:val="2021068F"/>
    <w:rsid w:val="20EE50D7"/>
    <w:rsid w:val="21022930"/>
    <w:rsid w:val="218E2416"/>
    <w:rsid w:val="21CD2F3E"/>
    <w:rsid w:val="235D02F2"/>
    <w:rsid w:val="23963804"/>
    <w:rsid w:val="23FE6083"/>
    <w:rsid w:val="242B4894"/>
    <w:rsid w:val="25675458"/>
    <w:rsid w:val="261332F5"/>
    <w:rsid w:val="26143832"/>
    <w:rsid w:val="27454B8F"/>
    <w:rsid w:val="27B34984"/>
    <w:rsid w:val="27B351DC"/>
    <w:rsid w:val="291E22D1"/>
    <w:rsid w:val="29524E24"/>
    <w:rsid w:val="2B0D0850"/>
    <w:rsid w:val="2B331CA0"/>
    <w:rsid w:val="2B925CFA"/>
    <w:rsid w:val="2BB1742D"/>
    <w:rsid w:val="2CEB0C53"/>
    <w:rsid w:val="2D236108"/>
    <w:rsid w:val="2F565CA1"/>
    <w:rsid w:val="30D616E4"/>
    <w:rsid w:val="312C634A"/>
    <w:rsid w:val="32110636"/>
    <w:rsid w:val="323B3EF4"/>
    <w:rsid w:val="32A63A63"/>
    <w:rsid w:val="33F60296"/>
    <w:rsid w:val="34677222"/>
    <w:rsid w:val="3472600C"/>
    <w:rsid w:val="34B41D3C"/>
    <w:rsid w:val="35666A5B"/>
    <w:rsid w:val="37072544"/>
    <w:rsid w:val="37405933"/>
    <w:rsid w:val="385F690C"/>
    <w:rsid w:val="38C369F1"/>
    <w:rsid w:val="390F1C37"/>
    <w:rsid w:val="396E1053"/>
    <w:rsid w:val="39804910"/>
    <w:rsid w:val="3A695377"/>
    <w:rsid w:val="3AB02FA5"/>
    <w:rsid w:val="3ABC194A"/>
    <w:rsid w:val="3B3C3A5E"/>
    <w:rsid w:val="3BC95180"/>
    <w:rsid w:val="3BE70C49"/>
    <w:rsid w:val="3C76576A"/>
    <w:rsid w:val="3DD35141"/>
    <w:rsid w:val="3E9A1FA2"/>
    <w:rsid w:val="41D13F2D"/>
    <w:rsid w:val="42B75819"/>
    <w:rsid w:val="4311712F"/>
    <w:rsid w:val="4379487C"/>
    <w:rsid w:val="453779AD"/>
    <w:rsid w:val="45E8282B"/>
    <w:rsid w:val="46A2470C"/>
    <w:rsid w:val="478B4B7E"/>
    <w:rsid w:val="478E1645"/>
    <w:rsid w:val="493A685C"/>
    <w:rsid w:val="494871CB"/>
    <w:rsid w:val="4961203A"/>
    <w:rsid w:val="4AD30D16"/>
    <w:rsid w:val="4E6C04F4"/>
    <w:rsid w:val="4F644633"/>
    <w:rsid w:val="4FC7696F"/>
    <w:rsid w:val="4FD85101"/>
    <w:rsid w:val="501C40BF"/>
    <w:rsid w:val="506708F8"/>
    <w:rsid w:val="5224663F"/>
    <w:rsid w:val="5402441A"/>
    <w:rsid w:val="543B3EB0"/>
    <w:rsid w:val="549C5253"/>
    <w:rsid w:val="553E1482"/>
    <w:rsid w:val="58030761"/>
    <w:rsid w:val="58E93DFA"/>
    <w:rsid w:val="5A043337"/>
    <w:rsid w:val="5B1213E7"/>
    <w:rsid w:val="5B386973"/>
    <w:rsid w:val="5D30024A"/>
    <w:rsid w:val="5D480901"/>
    <w:rsid w:val="5DC14E07"/>
    <w:rsid w:val="5EEE5CC7"/>
    <w:rsid w:val="5F555D46"/>
    <w:rsid w:val="61B52ACC"/>
    <w:rsid w:val="61FC06FB"/>
    <w:rsid w:val="623954AB"/>
    <w:rsid w:val="62490B14"/>
    <w:rsid w:val="63473BF7"/>
    <w:rsid w:val="636721B0"/>
    <w:rsid w:val="63896C89"/>
    <w:rsid w:val="63C45248"/>
    <w:rsid w:val="67344343"/>
    <w:rsid w:val="6A097E59"/>
    <w:rsid w:val="6B811C71"/>
    <w:rsid w:val="6BBD40E6"/>
    <w:rsid w:val="6C841A18"/>
    <w:rsid w:val="6D433682"/>
    <w:rsid w:val="6E7D2BC3"/>
    <w:rsid w:val="6F084B83"/>
    <w:rsid w:val="70B80E40"/>
    <w:rsid w:val="711D243B"/>
    <w:rsid w:val="71CC3C20"/>
    <w:rsid w:val="724834E8"/>
    <w:rsid w:val="72E27499"/>
    <w:rsid w:val="73995FEB"/>
    <w:rsid w:val="74546174"/>
    <w:rsid w:val="75BA64AB"/>
    <w:rsid w:val="76C43A85"/>
    <w:rsid w:val="76EC08E6"/>
    <w:rsid w:val="789559D4"/>
    <w:rsid w:val="791800B8"/>
    <w:rsid w:val="7A692C8E"/>
    <w:rsid w:val="7A8A73DB"/>
    <w:rsid w:val="7B034450"/>
    <w:rsid w:val="7B451D8B"/>
    <w:rsid w:val="7B88662C"/>
    <w:rsid w:val="7BAD1EBA"/>
    <w:rsid w:val="7D564C0F"/>
    <w:rsid w:val="7D9677FD"/>
    <w:rsid w:val="7E7E276B"/>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9"/>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39"/>
    <w:pPr>
      <w:ind w:left="1260"/>
      <w:jc w:val="left"/>
    </w:pPr>
    <w:rPr>
      <w:sz w:val="20"/>
      <w:szCs w:val="20"/>
    </w:rPr>
  </w:style>
  <w:style w:type="paragraph" w:styleId="7">
    <w:name w:val="Document Map"/>
    <w:basedOn w:val="1"/>
    <w:link w:val="61"/>
    <w:qFormat/>
    <w:uiPriority w:val="0"/>
    <w:rPr>
      <w:rFonts w:ascii="宋体"/>
      <w:sz w:val="18"/>
      <w:szCs w:val="18"/>
    </w:rPr>
  </w:style>
  <w:style w:type="paragraph" w:styleId="8">
    <w:name w:val="annotation text"/>
    <w:basedOn w:val="1"/>
    <w:link w:val="45"/>
    <w:semiHidden/>
    <w:qFormat/>
    <w:uiPriority w:val="99"/>
    <w:pPr>
      <w:jc w:val="left"/>
    </w:pPr>
    <w:rPr>
      <w:szCs w:val="20"/>
    </w:rPr>
  </w:style>
  <w:style w:type="paragraph" w:styleId="9">
    <w:name w:val="Body Text"/>
    <w:basedOn w:val="1"/>
    <w:link w:val="43"/>
    <w:qFormat/>
    <w:uiPriority w:val="0"/>
    <w:pPr>
      <w:spacing w:after="120"/>
    </w:pPr>
    <w:rPr>
      <w:sz w:val="24"/>
      <w:szCs w:val="20"/>
    </w:rPr>
  </w:style>
  <w:style w:type="paragraph" w:styleId="10">
    <w:name w:val="toc 5"/>
    <w:basedOn w:val="1"/>
    <w:next w:val="1"/>
    <w:semiHidden/>
    <w:qFormat/>
    <w:uiPriority w:val="39"/>
    <w:pPr>
      <w:ind w:left="840"/>
      <w:jc w:val="left"/>
    </w:pPr>
    <w:rPr>
      <w:sz w:val="20"/>
      <w:szCs w:val="20"/>
    </w:rPr>
  </w:style>
  <w:style w:type="paragraph" w:styleId="11">
    <w:name w:val="toc 3"/>
    <w:basedOn w:val="1"/>
    <w:next w:val="1"/>
    <w:semiHidden/>
    <w:qFormat/>
    <w:uiPriority w:val="39"/>
    <w:pPr>
      <w:ind w:left="420"/>
      <w:jc w:val="left"/>
    </w:pPr>
    <w:rPr>
      <w:sz w:val="20"/>
      <w:szCs w:val="20"/>
    </w:rPr>
  </w:style>
  <w:style w:type="paragraph" w:styleId="12">
    <w:name w:val="Plain Text"/>
    <w:basedOn w:val="1"/>
    <w:link w:val="38"/>
    <w:qFormat/>
    <w:uiPriority w:val="0"/>
    <w:rPr>
      <w:rFonts w:ascii="宋体" w:hAnsi="Courier New"/>
      <w:szCs w:val="20"/>
    </w:rPr>
  </w:style>
  <w:style w:type="paragraph" w:styleId="13">
    <w:name w:val="toc 8"/>
    <w:basedOn w:val="1"/>
    <w:next w:val="1"/>
    <w:semiHidden/>
    <w:qFormat/>
    <w:uiPriority w:val="39"/>
    <w:pPr>
      <w:ind w:left="1470"/>
      <w:jc w:val="left"/>
    </w:pPr>
    <w:rPr>
      <w:sz w:val="20"/>
      <w:szCs w:val="20"/>
    </w:rPr>
  </w:style>
  <w:style w:type="paragraph" w:styleId="14">
    <w:name w:val="Date"/>
    <w:basedOn w:val="1"/>
    <w:next w:val="1"/>
    <w:link w:val="50"/>
    <w:qFormat/>
    <w:uiPriority w:val="99"/>
    <w:pPr>
      <w:ind w:left="100" w:leftChars="2500"/>
    </w:pPr>
  </w:style>
  <w:style w:type="paragraph" w:styleId="15">
    <w:name w:val="Balloon Text"/>
    <w:basedOn w:val="1"/>
    <w:link w:val="42"/>
    <w:semiHidden/>
    <w:qFormat/>
    <w:uiPriority w:val="99"/>
    <w:rPr>
      <w:sz w:val="18"/>
      <w:szCs w:val="18"/>
    </w:rPr>
  </w:style>
  <w:style w:type="paragraph" w:styleId="16">
    <w:name w:val="footer"/>
    <w:basedOn w:val="1"/>
    <w:link w:val="41"/>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240" w:after="120"/>
      <w:jc w:val="left"/>
    </w:pPr>
    <w:rPr>
      <w:b/>
      <w:bCs/>
      <w:sz w:val="20"/>
      <w:szCs w:val="20"/>
    </w:rPr>
  </w:style>
  <w:style w:type="paragraph" w:styleId="19">
    <w:name w:val="toc 4"/>
    <w:basedOn w:val="1"/>
    <w:next w:val="1"/>
    <w:semiHidden/>
    <w:qFormat/>
    <w:uiPriority w:val="39"/>
    <w:pPr>
      <w:ind w:left="630"/>
      <w:jc w:val="left"/>
    </w:pPr>
    <w:rPr>
      <w:sz w:val="20"/>
      <w:szCs w:val="20"/>
    </w:rPr>
  </w:style>
  <w:style w:type="paragraph" w:styleId="20">
    <w:name w:val="toc 6"/>
    <w:basedOn w:val="1"/>
    <w:next w:val="1"/>
    <w:semiHidden/>
    <w:qFormat/>
    <w:uiPriority w:val="39"/>
    <w:pPr>
      <w:ind w:left="1050"/>
      <w:jc w:val="left"/>
    </w:pPr>
    <w:rPr>
      <w:sz w:val="20"/>
      <w:szCs w:val="20"/>
    </w:rPr>
  </w:style>
  <w:style w:type="paragraph" w:styleId="21">
    <w:name w:val="toc 2"/>
    <w:basedOn w:val="1"/>
    <w:next w:val="1"/>
    <w:qFormat/>
    <w:uiPriority w:val="39"/>
    <w:pPr>
      <w:spacing w:before="120"/>
      <w:ind w:left="210"/>
      <w:jc w:val="left"/>
    </w:pPr>
    <w:rPr>
      <w:i/>
      <w:iCs/>
      <w:sz w:val="20"/>
      <w:szCs w:val="20"/>
    </w:rPr>
  </w:style>
  <w:style w:type="paragraph" w:styleId="22">
    <w:name w:val="toc 9"/>
    <w:basedOn w:val="1"/>
    <w:next w:val="1"/>
    <w:semiHidden/>
    <w:qFormat/>
    <w:uiPriority w:val="39"/>
    <w:pPr>
      <w:ind w:left="1680"/>
      <w:jc w:val="left"/>
    </w:pPr>
    <w:rPr>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99"/>
    <w:rPr>
      <w:rFonts w:cs="Times New Roman"/>
    </w:rPr>
  </w:style>
  <w:style w:type="character" w:styleId="29">
    <w:name w:val="FollowedHyperlink"/>
    <w:qFormat/>
    <w:uiPriority w:val="0"/>
    <w:rPr>
      <w:color w:val="800080"/>
      <w:u w:val="none"/>
    </w:rPr>
  </w:style>
  <w:style w:type="character" w:styleId="30">
    <w:name w:val="Hyperlink"/>
    <w:basedOn w:val="26"/>
    <w:qFormat/>
    <w:uiPriority w:val="99"/>
    <w:rPr>
      <w:color w:val="0000FF"/>
      <w:u w:val="none"/>
    </w:rPr>
  </w:style>
  <w:style w:type="character" w:customStyle="1" w:styleId="31">
    <w:name w:val="Plain Text Char1"/>
    <w:semiHidden/>
    <w:qFormat/>
    <w:uiPriority w:val="99"/>
    <w:rPr>
      <w:rFonts w:ascii="宋体" w:hAnsi="Courier New" w:cs="Courier New"/>
      <w:kern w:val="2"/>
      <w:sz w:val="21"/>
      <w:szCs w:val="21"/>
    </w:rPr>
  </w:style>
  <w:style w:type="character" w:customStyle="1" w:styleId="32">
    <w:name w:val="hang1"/>
    <w:qFormat/>
    <w:uiPriority w:val="0"/>
    <w:rPr>
      <w:rFonts w:cs="Times New Roman"/>
    </w:rPr>
  </w:style>
  <w:style w:type="character" w:customStyle="1" w:styleId="33">
    <w:name w:val="纯文本 Char1"/>
    <w:qFormat/>
    <w:locked/>
    <w:uiPriority w:val="0"/>
    <w:rPr>
      <w:rFonts w:ascii="宋体" w:hAnsi="Courier New" w:eastAsia="宋体"/>
      <w:kern w:val="2"/>
      <w:sz w:val="21"/>
      <w:lang w:val="en-US" w:eastAsia="zh-CN"/>
    </w:rPr>
  </w:style>
  <w:style w:type="character" w:customStyle="1" w:styleId="34">
    <w:name w:val="Body Text Char1"/>
    <w:semiHidden/>
    <w:qFormat/>
    <w:uiPriority w:val="99"/>
    <w:rPr>
      <w:kern w:val="2"/>
      <w:sz w:val="21"/>
      <w:szCs w:val="24"/>
    </w:rPr>
  </w:style>
  <w:style w:type="character" w:customStyle="1" w:styleId="35">
    <w:name w:val="页眉 字符"/>
    <w:link w:val="17"/>
    <w:semiHidden/>
    <w:qFormat/>
    <w:uiPriority w:val="99"/>
    <w:rPr>
      <w:kern w:val="2"/>
      <w:sz w:val="18"/>
      <w:szCs w:val="18"/>
    </w:rPr>
  </w:style>
  <w:style w:type="character" w:customStyle="1" w:styleId="36">
    <w:name w:val="正文文本 Char1"/>
    <w:qFormat/>
    <w:uiPriority w:val="0"/>
    <w:rPr>
      <w:kern w:val="2"/>
      <w:sz w:val="24"/>
    </w:rPr>
  </w:style>
  <w:style w:type="character" w:customStyle="1" w:styleId="37">
    <w:name w:val="普通文字 Char2"/>
    <w:qFormat/>
    <w:locked/>
    <w:uiPriority w:val="0"/>
    <w:rPr>
      <w:rFonts w:ascii="宋体" w:hAnsi="Courier New" w:eastAsia="宋体"/>
    </w:rPr>
  </w:style>
  <w:style w:type="character" w:customStyle="1" w:styleId="38">
    <w:name w:val="纯文本 字符"/>
    <w:link w:val="12"/>
    <w:qFormat/>
    <w:locked/>
    <w:uiPriority w:val="0"/>
    <w:rPr>
      <w:rFonts w:ascii="宋体" w:hAnsi="Courier New" w:eastAsia="宋体"/>
      <w:kern w:val="2"/>
      <w:sz w:val="21"/>
      <w:lang w:val="en-US" w:eastAsia="zh-CN"/>
    </w:rPr>
  </w:style>
  <w:style w:type="character" w:customStyle="1" w:styleId="39">
    <w:name w:val="标题 2 字符"/>
    <w:link w:val="2"/>
    <w:qFormat/>
    <w:locked/>
    <w:uiPriority w:val="0"/>
    <w:rPr>
      <w:rFonts w:ascii="Arial" w:hAnsi="Arial" w:eastAsia="黑体"/>
      <w:b/>
      <w:kern w:val="2"/>
      <w:sz w:val="32"/>
      <w:lang w:val="en-US" w:eastAsia="zh-CN"/>
    </w:rPr>
  </w:style>
  <w:style w:type="character" w:customStyle="1" w:styleId="40">
    <w:name w:val="Char Char2"/>
    <w:qFormat/>
    <w:uiPriority w:val="0"/>
    <w:rPr>
      <w:rFonts w:ascii="Arial" w:hAnsi="Arial" w:eastAsia="黑体"/>
      <w:b/>
      <w:kern w:val="2"/>
      <w:sz w:val="32"/>
      <w:lang w:val="en-US" w:eastAsia="zh-CN"/>
    </w:rPr>
  </w:style>
  <w:style w:type="character" w:customStyle="1" w:styleId="41">
    <w:name w:val="页脚 字符"/>
    <w:link w:val="16"/>
    <w:qFormat/>
    <w:locked/>
    <w:uiPriority w:val="99"/>
    <w:rPr>
      <w:kern w:val="2"/>
      <w:sz w:val="18"/>
    </w:rPr>
  </w:style>
  <w:style w:type="character" w:customStyle="1" w:styleId="42">
    <w:name w:val="批注框文本 字符"/>
    <w:link w:val="15"/>
    <w:semiHidden/>
    <w:qFormat/>
    <w:uiPriority w:val="99"/>
    <w:rPr>
      <w:kern w:val="2"/>
      <w:sz w:val="16"/>
      <w:szCs w:val="0"/>
    </w:rPr>
  </w:style>
  <w:style w:type="character" w:customStyle="1" w:styleId="43">
    <w:name w:val="正文文本 字符"/>
    <w:link w:val="9"/>
    <w:qFormat/>
    <w:locked/>
    <w:uiPriority w:val="0"/>
    <w:rPr>
      <w:kern w:val="2"/>
      <w:sz w:val="24"/>
    </w:rPr>
  </w:style>
  <w:style w:type="character" w:customStyle="1" w:styleId="44">
    <w:name w:val="标题 2 Char1"/>
    <w:qFormat/>
    <w:uiPriority w:val="0"/>
    <w:rPr>
      <w:rFonts w:ascii="Arial" w:hAnsi="Arial" w:eastAsia="黑体"/>
      <w:b/>
      <w:kern w:val="2"/>
      <w:sz w:val="32"/>
      <w:lang w:val="en-US" w:eastAsia="zh-CN"/>
    </w:rPr>
  </w:style>
  <w:style w:type="character" w:customStyle="1" w:styleId="45">
    <w:name w:val="批注文字 字符"/>
    <w:link w:val="8"/>
    <w:semiHidden/>
    <w:qFormat/>
    <w:uiPriority w:val="99"/>
    <w:rPr>
      <w:kern w:val="2"/>
      <w:sz w:val="21"/>
      <w:szCs w:val="24"/>
    </w:rPr>
  </w:style>
  <w:style w:type="character" w:customStyle="1" w:styleId="46">
    <w:name w:val="标题 1 字符"/>
    <w:link w:val="3"/>
    <w:qFormat/>
    <w:locked/>
    <w:uiPriority w:val="9"/>
    <w:rPr>
      <w:rFonts w:eastAsia="宋体"/>
      <w:b/>
      <w:kern w:val="44"/>
      <w:sz w:val="44"/>
      <w:lang w:val="en-US" w:eastAsia="zh-CN"/>
    </w:rPr>
  </w:style>
  <w:style w:type="character" w:customStyle="1" w:styleId="47">
    <w:name w:val="bold1"/>
    <w:qFormat/>
    <w:uiPriority w:val="0"/>
    <w:rPr>
      <w:b/>
    </w:rPr>
  </w:style>
  <w:style w:type="character" w:customStyle="1" w:styleId="48">
    <w:name w:val="标题 3 字符"/>
    <w:link w:val="4"/>
    <w:qFormat/>
    <w:uiPriority w:val="0"/>
    <w:rPr>
      <w:b/>
      <w:bCs/>
      <w:kern w:val="2"/>
      <w:sz w:val="32"/>
      <w:szCs w:val="32"/>
    </w:rPr>
  </w:style>
  <w:style w:type="character" w:customStyle="1" w:styleId="49">
    <w:name w:val="apple-converted-space"/>
    <w:qFormat/>
    <w:uiPriority w:val="0"/>
    <w:rPr>
      <w:rFonts w:cs="Times New Roman"/>
    </w:rPr>
  </w:style>
  <w:style w:type="character" w:customStyle="1" w:styleId="50">
    <w:name w:val="日期 字符"/>
    <w:link w:val="14"/>
    <w:qFormat/>
    <w:locked/>
    <w:uiPriority w:val="99"/>
    <w:rPr>
      <w:kern w:val="2"/>
      <w:sz w:val="24"/>
    </w:rPr>
  </w:style>
  <w:style w:type="paragraph" w:customStyle="1" w:styleId="51">
    <w:name w:val="Char Char"/>
    <w:basedOn w:val="1"/>
    <w:qFormat/>
    <w:uiPriority w:val="0"/>
    <w:pPr>
      <w:widowControl/>
      <w:spacing w:after="160" w:line="240" w:lineRule="exact"/>
      <w:jc w:val="left"/>
    </w:pPr>
  </w:style>
  <w:style w:type="paragraph" w:customStyle="1" w:styleId="52">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3">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样式 标题 3 + 加粗 + 加粗"/>
    <w:basedOn w:val="1"/>
    <w:qFormat/>
    <w:uiPriority w:val="0"/>
    <w:pPr>
      <w:tabs>
        <w:tab w:val="left" w:pos="420"/>
      </w:tabs>
      <w:ind w:left="420" w:hanging="420"/>
    </w:pPr>
  </w:style>
  <w:style w:type="paragraph" w:customStyle="1" w:styleId="5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2"/>
    <w:basedOn w:val="1"/>
    <w:qFormat/>
    <w:uiPriority w:val="0"/>
    <w:pPr>
      <w:ind w:firstLine="420" w:firstLineChars="200"/>
    </w:pPr>
  </w:style>
  <w:style w:type="paragraph" w:customStyle="1" w:styleId="57">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8">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9">
    <w:name w:val="列出段落11"/>
    <w:basedOn w:val="1"/>
    <w:qFormat/>
    <w:uiPriority w:val="34"/>
    <w:pPr>
      <w:ind w:firstLine="420" w:firstLineChars="200"/>
    </w:pPr>
  </w:style>
  <w:style w:type="paragraph" w:customStyle="1" w:styleId="60">
    <w:name w:val="默认段落字体 Para Char Char Char Char Char Char Char Char Char1 Char"/>
    <w:basedOn w:val="1"/>
    <w:qFormat/>
    <w:uiPriority w:val="0"/>
    <w:rPr>
      <w:rFonts w:ascii="Tahoma" w:hAnsi="Tahoma"/>
      <w:sz w:val="24"/>
      <w:szCs w:val="20"/>
    </w:rPr>
  </w:style>
  <w:style w:type="character" w:customStyle="1" w:styleId="61">
    <w:name w:val="文档结构图 字符"/>
    <w:basedOn w:val="26"/>
    <w:link w:val="7"/>
    <w:qFormat/>
    <w:uiPriority w:val="0"/>
    <w:rPr>
      <w:rFonts w:ascii="宋体"/>
      <w:kern w:val="2"/>
      <w:sz w:val="18"/>
      <w:szCs w:val="18"/>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其他"/>
    <w:basedOn w:val="1"/>
    <w:qFormat/>
    <w:uiPriority w:val="0"/>
    <w:pPr>
      <w:shd w:val="clear" w:color="auto" w:fill="FFFFFF"/>
      <w:spacing w:line="406" w:lineRule="auto"/>
    </w:pPr>
    <w:rPr>
      <w:rFonts w:ascii="MingLiU" w:hAnsi="MingLiU" w:eastAsia="MingLiU" w:cs="MingLiU"/>
      <w:sz w:val="22"/>
      <w:szCs w:val="22"/>
      <w:lang w:val="zh-CN" w:bidi="zh-CN"/>
    </w:rPr>
  </w:style>
  <w:style w:type="paragraph" w:customStyle="1" w:styleId="64">
    <w:name w:val="表格文字（居左）"/>
    <w:basedOn w:val="1"/>
    <w:qFormat/>
    <w:uiPriority w:val="0"/>
    <w:pPr>
      <w:spacing w:line="360" w:lineRule="exact"/>
      <w:jc w:val="left"/>
    </w:pPr>
    <w:rPr>
      <w:rFonts w:eastAsia="仿宋_GB2312"/>
      <w:sz w:val="24"/>
    </w:rPr>
  </w:style>
  <w:style w:type="paragraph" w:styleId="65">
    <w:name w:val="List Paragraph"/>
    <w:basedOn w:val="1"/>
    <w:qFormat/>
    <w:uiPriority w:val="0"/>
    <w:pPr>
      <w:ind w:firstLine="420" w:firstLineChars="200"/>
    </w:pPr>
    <w:rPr>
      <w:szCs w:val="22"/>
    </w:rPr>
  </w:style>
  <w:style w:type="character" w:customStyle="1" w:styleId="66">
    <w:name w:val="font61"/>
    <w:basedOn w:val="26"/>
    <w:qFormat/>
    <w:uiPriority w:val="0"/>
    <w:rPr>
      <w:rFonts w:hint="default" w:ascii="Times New Roman" w:hAnsi="Times New Roman" w:cs="Times New Roman"/>
      <w:color w:val="FF0000"/>
      <w:sz w:val="21"/>
      <w:szCs w:val="21"/>
      <w:u w:val="none"/>
    </w:rPr>
  </w:style>
  <w:style w:type="character" w:customStyle="1" w:styleId="67">
    <w:name w:val="font41"/>
    <w:basedOn w:val="26"/>
    <w:qFormat/>
    <w:uiPriority w:val="0"/>
    <w:rPr>
      <w:rFonts w:hint="eastAsia" w:ascii="宋体" w:hAnsi="宋体" w:eastAsia="宋体" w:cs="宋体"/>
      <w:color w:val="000000"/>
      <w:sz w:val="24"/>
      <w:szCs w:val="24"/>
      <w:u w:val="none"/>
    </w:rPr>
  </w:style>
  <w:style w:type="character" w:customStyle="1" w:styleId="68">
    <w:name w:val="font31"/>
    <w:basedOn w:val="26"/>
    <w:qFormat/>
    <w:uiPriority w:val="0"/>
    <w:rPr>
      <w:rFonts w:hint="eastAsia" w:ascii="宋体" w:hAnsi="宋体" w:eastAsia="宋体" w:cs="宋体"/>
      <w:color w:val="000000"/>
      <w:sz w:val="24"/>
      <w:szCs w:val="24"/>
      <w:u w:val="none"/>
    </w:rPr>
  </w:style>
  <w:style w:type="character" w:customStyle="1" w:styleId="69">
    <w:name w:val="font51"/>
    <w:basedOn w:val="26"/>
    <w:qFormat/>
    <w:uiPriority w:val="0"/>
    <w:rPr>
      <w:rFonts w:hint="eastAsia" w:ascii="宋体" w:hAnsi="宋体" w:eastAsia="宋体" w:cs="宋体"/>
      <w:color w:val="000000"/>
      <w:sz w:val="24"/>
      <w:szCs w:val="24"/>
      <w:u w:val="none"/>
    </w:rPr>
  </w:style>
  <w:style w:type="character" w:customStyle="1" w:styleId="70">
    <w:name w:val="font21"/>
    <w:basedOn w:val="26"/>
    <w:qFormat/>
    <w:uiPriority w:val="0"/>
    <w:rPr>
      <w:rFonts w:hint="default" w:ascii="Calibri" w:hAnsi="Calibri" w:cs="Calibri"/>
      <w:color w:val="000000"/>
      <w:sz w:val="21"/>
      <w:szCs w:val="21"/>
      <w:u w:val="none"/>
    </w:rPr>
  </w:style>
  <w:style w:type="character" w:customStyle="1" w:styleId="71">
    <w:name w:val="font01"/>
    <w:basedOn w:val="2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2351</Words>
  <Characters>2526</Characters>
  <Lines>26</Lines>
  <Paragraphs>7</Paragraphs>
  <TotalTime>17</TotalTime>
  <ScaleCrop>false</ScaleCrop>
  <LinksUpToDate>false</LinksUpToDate>
  <CharactersWithSpaces>2757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2022-11-11T06:59:00Z</dcterms:created>
  <dc:creator>USER</dc:creator>
  <cp:lastModifiedBy>体检系统-余明华13798513144</cp:lastModifiedBy>
  <cp:lastPrinted>2023-01-11T00:38:00Z</cp:lastPrinted>
  <dcterms:modified xsi:type="dcterms:W3CDTF">2023-06-15T06:26:34Z</dcterms:modified>
  <dc:title>南康市环宇招标代理有限公司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13C6A56B2A994D6891E83E66225DD8BD_13</vt:lpwstr>
  </property>
</Properties>
</file>