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         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4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医院RBRVS绩效评价软件项目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4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一、医院RBRVS绩效评价软件项目咨询响应函</w:t>
      </w:r>
      <w:bookmarkEnd w:id="1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spacing w:line="360" w:lineRule="auto"/>
        <w:jc w:val="center"/>
        <w:rPr>
          <w:rFonts w:ascii="Arial" w:hAnsi="Arial" w:eastAsia="黑体"/>
          <w:b/>
          <w:bCs/>
          <w:kern w:val="0"/>
          <w:sz w:val="32"/>
          <w:szCs w:val="32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/>
          <w:b/>
          <w:bCs/>
          <w:kern w:val="0"/>
          <w:sz w:val="32"/>
          <w:szCs w:val="32"/>
        </w:rPr>
        <w:t>二、报 价 清 单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                                            单位：元</w:t>
      </w:r>
    </w:p>
    <w:tbl>
      <w:tblPr>
        <w:tblStyle w:val="24"/>
        <w:tblW w:w="104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738"/>
        <w:gridCol w:w="1693"/>
        <w:gridCol w:w="1059"/>
        <w:gridCol w:w="1036"/>
        <w:gridCol w:w="1089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产品名称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品牌商标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规格型号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产地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数量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单价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7" w:firstLineChars="150"/>
              <w:rPr>
                <w:rFonts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7"/>
                <w:szCs w:val="27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/>
                <w:kern w:val="0"/>
              </w:rPr>
              <w:t>医院RBRVS绩效评价软件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hint="eastAsia" w:ascii="宋体" w:hAnsi="宋体" w:eastAsia="宋体" w:cs="宋体"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（大写）</w:t>
            </w: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  <w:lang w:eastAsia="zh-CN"/>
              </w:rPr>
              <w:t>：</w:t>
            </w:r>
          </w:p>
        </w:tc>
        <w:tc>
          <w:tcPr>
            <w:tcW w:w="6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05" w:firstLineChars="150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jc w:val="center"/>
        <w:rPr>
          <w:rFonts w:ascii="Arial" w:hAnsi="Arial" w:eastAsia="黑体"/>
          <w:b/>
          <w:bCs/>
          <w:kern w:val="0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color w:val="000000"/>
        </w:rPr>
      </w:pPr>
      <w:r>
        <w:rPr>
          <w:rFonts w:hint="eastAsia" w:ascii="Arial" w:hAnsi="Arial" w:eastAsia="黑体"/>
          <w:b/>
          <w:bCs/>
          <w:kern w:val="0"/>
          <w:sz w:val="32"/>
          <w:szCs w:val="32"/>
        </w:rPr>
        <w:t>三、采购项目需求</w:t>
      </w:r>
      <w:bookmarkEnd w:id="2"/>
      <w:bookmarkEnd w:id="3"/>
      <w:bookmarkStart w:id="5" w:name="_Toc519068587"/>
      <w:bookmarkEnd w:id="5"/>
      <w:bookmarkStart w:id="6" w:name="_Toc479257748"/>
      <w:bookmarkStart w:id="7" w:name="_Toc485736243"/>
      <w:bookmarkStart w:id="8" w:name="_Toc516969105"/>
      <w:bookmarkStart w:id="9" w:name="_Toc485736236"/>
    </w:p>
    <w:p>
      <w:pPr>
        <w:spacing w:line="500" w:lineRule="exact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</w:t>
      </w:r>
      <w:r>
        <w:rPr>
          <w:b/>
          <w:bCs/>
          <w:sz w:val="30"/>
          <w:szCs w:val="30"/>
        </w:rPr>
        <w:t>项目</w:t>
      </w:r>
      <w:r>
        <w:rPr>
          <w:rFonts w:hint="eastAsia"/>
          <w:b/>
          <w:bCs/>
          <w:sz w:val="30"/>
          <w:szCs w:val="30"/>
        </w:rPr>
        <w:t>实施背景</w:t>
      </w:r>
    </w:p>
    <w:p>
      <w:pPr>
        <w:widowControl/>
        <w:spacing w:line="500" w:lineRule="exact"/>
        <w:ind w:firstLine="720" w:firstLineChars="3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近来我院业务不断发展，各项医疗数据指标参数需求日趋完善，新旧HIS系统更新交替，为适应新医改医保DIP付费、DRGS绩效评价等医疗指标要求，提高医院运行效率，强化学科建设，老的绩效系统各项指标已经不适应目前医院的发展，需要更新绩效软件指标参数。</w:t>
      </w:r>
    </w:p>
    <w:p>
      <w:pPr>
        <w:spacing w:line="500" w:lineRule="exact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2、技术要求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医院绩效管理系统，在医院精细化运营管理体系下，建立以 RBRVS为主的绩效考核方法的医院绩效管理方案，并以该方案为依据建立医院绩效核算系统，精准分配各科室人员绩效工资</w:t>
      </w:r>
    </w:p>
    <w:p>
      <w:pPr>
        <w:spacing w:line="500" w:lineRule="exact"/>
        <w:contextualSpacing/>
        <w:rPr>
          <w:kern w:val="0"/>
          <w:sz w:val="24"/>
          <w:szCs w:val="24"/>
        </w:rPr>
      </w:pPr>
      <w:r>
        <w:rPr>
          <w:rFonts w:hint="eastAsia"/>
          <w:b/>
          <w:bCs/>
          <w:sz w:val="30"/>
          <w:szCs w:val="30"/>
        </w:rPr>
        <w:t>3、项目要求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（1）医院目前现行绩效分配方案分析；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（2）实施新型绩效分配方案医院的信息化基础情况；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（3）人力资源部门定岗定编础情况；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（4）医务科、质控科、物价资产等绩效配合部门业务发展情况；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（5）医院中高层及不同类别岗位员工对先行绩效分配方案的满意度、意见或建议；</w:t>
      </w:r>
    </w:p>
    <w:p>
      <w:pPr>
        <w:spacing w:line="500" w:lineRule="exact"/>
        <w:contextualSpacing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4、</w:t>
      </w:r>
      <w:r>
        <w:rPr>
          <w:b/>
          <w:sz w:val="24"/>
          <w:szCs w:val="24"/>
        </w:rPr>
        <w:t>绩效管理体系建设框架设计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  需引入和借鉴先进医院管理理念和实践经验，应用美国哈佛的RBRVS评估系统，对临床医师、护理和医技科室人员进行绩效奖金的系统研究，并建立以医疗护理工作量和专科特色为基础的新型绩效分配方案，使医护人员的劳动价值得以真正体现。</w:t>
      </w:r>
    </w:p>
    <w:p>
      <w:pPr>
        <w:spacing w:line="500" w:lineRule="exact"/>
        <w:ind w:firstLine="720" w:firstLineChars="3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需对医院的临床服务项目做难度和强度系数界定，测定主要集中在三个方面： 一是医师的总工作量（TW），包括工作时间和劳动强度（劳动强度包括3个不同层次：⑴脑力消耗及临床判断⑵技术技能及体力消耗⑶承担风险的压力）；二是开业成本（PC），包括医师的医疗事故责任保险；三是分期偿还医师所受专业培训的机会成本（AST）。必须用RBRVS评估系统，来支付医疗劳务费用，从而建立起新型的绩效考核体系。</w:t>
      </w:r>
    </w:p>
    <w:p>
      <w:pPr>
        <w:spacing w:line="500" w:lineRule="exact"/>
        <w:contextualSpacing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5、</w:t>
      </w:r>
      <w:r>
        <w:rPr>
          <w:b/>
          <w:sz w:val="24"/>
          <w:szCs w:val="24"/>
        </w:rPr>
        <w:t>项目核心成果</w:t>
      </w:r>
    </w:p>
    <w:p>
      <w:pPr>
        <w:spacing w:line="500" w:lineRule="exact"/>
        <w:ind w:left="599" w:leftChars="228" w:hanging="120" w:hangingChars="5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>
        <w:rPr>
          <w:kern w:val="0"/>
          <w:sz w:val="24"/>
          <w:szCs w:val="24"/>
        </w:rPr>
        <w:t>制定全院医疗系列、护理系列、医技系列、管理系列</w:t>
      </w:r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定编细则，确定各类别岗位系数。形成全院人员岗位字典库。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kern w:val="0"/>
          <w:sz w:val="24"/>
          <w:szCs w:val="24"/>
        </w:rPr>
        <w:t>本土化诊疗项目点值字典库（难度点值、风险点值、时长点值）</w:t>
      </w:r>
    </w:p>
    <w:p>
      <w:pPr>
        <w:spacing w:line="500" w:lineRule="exact"/>
        <w:ind w:firstLine="480" w:firstLineChars="200"/>
        <w:contextualSpacing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</w:t>
      </w:r>
      <w:r>
        <w:rPr>
          <w:kern w:val="0"/>
          <w:sz w:val="24"/>
          <w:szCs w:val="24"/>
        </w:rPr>
        <w:t>全面绩效管理评价体系实施方案</w:t>
      </w:r>
    </w:p>
    <w:p>
      <w:pPr>
        <w:spacing w:line="500" w:lineRule="exact"/>
        <w:contextualSpacing/>
        <w:rPr>
          <w:b/>
          <w:bCs/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6、软件功能模块</w:t>
      </w:r>
    </w:p>
    <w:tbl>
      <w:tblPr>
        <w:tblStyle w:val="24"/>
        <w:tblW w:w="895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7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功能模块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功能要求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sz w:val="24"/>
                <w:szCs w:val="24"/>
              </w:rPr>
              <w:t>系统连接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1、系统与HIS、HRP、OA对接，和HIS、HRP、OA进行实时、高效的数据交互以支撑绩效核算要求。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2、支持电脑登录查询绩效核算数据。</w:t>
            </w:r>
          </w:p>
        </w:tc>
      </w:tr>
      <w:tr>
        <w:trPr>
          <w:trHeight w:val="311" w:hRule="atLeast"/>
        </w:trPr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3、数据安全：系统应防止非授权者访问和篡改相关数据，确保院内数据安全。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医生</w:t>
            </w:r>
            <w:r>
              <w:rPr>
                <w:b/>
                <w:sz w:val="24"/>
                <w:szCs w:val="24"/>
              </w:rPr>
              <w:t>奖励性</w:t>
            </w:r>
            <w:r>
              <w:rPr>
                <w:rFonts w:hint="eastAsia"/>
                <w:b/>
                <w:sz w:val="24"/>
                <w:szCs w:val="24"/>
              </w:rPr>
              <w:t>绩效</w:t>
            </w:r>
            <w:r>
              <w:rPr>
                <w:b/>
                <w:sz w:val="24"/>
                <w:szCs w:val="24"/>
              </w:rPr>
              <w:t>工资模块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1.医师</w:t>
            </w:r>
            <w:r>
              <w:rPr>
                <w:kern w:val="0"/>
                <w:sz w:val="24"/>
                <w:szCs w:val="24"/>
              </w:rPr>
              <w:t>奖励性绩效工资公式、参数设定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.医师RBRVS基准</w:t>
            </w:r>
            <w:r>
              <w:rPr>
                <w:kern w:val="0"/>
                <w:sz w:val="24"/>
                <w:szCs w:val="24"/>
              </w:rPr>
              <w:t>设定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CMI（疾病严重度指数）统计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RBRVS工作量明细查询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出入院病人明细查询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公卫工作量明细查询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成本消耗明细查询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人员人事成本明细查询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奖励性绩效工资考核设定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奖励性绩效工资汇总结果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</w:t>
            </w:r>
            <w:r>
              <w:rPr>
                <w:rFonts w:hint="eastAsia"/>
                <w:kern w:val="0"/>
                <w:sz w:val="24"/>
                <w:szCs w:val="24"/>
              </w:rPr>
              <w:t>.医师</w:t>
            </w:r>
            <w:r>
              <w:rPr>
                <w:kern w:val="0"/>
                <w:sz w:val="24"/>
                <w:szCs w:val="24"/>
              </w:rPr>
              <w:t>奖励性绩效工资分配设定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护理</w:t>
            </w:r>
            <w:r>
              <w:rPr>
                <w:b/>
                <w:sz w:val="24"/>
                <w:szCs w:val="24"/>
              </w:rPr>
              <w:t>奖励性绩效工资模块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1.护理</w:t>
            </w:r>
            <w:r>
              <w:rPr>
                <w:kern w:val="0"/>
                <w:sz w:val="24"/>
                <w:szCs w:val="24"/>
              </w:rPr>
              <w:t>奖励性绩效工资公式、参数设定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.护理RBRVS基准</w:t>
            </w:r>
            <w:r>
              <w:rPr>
                <w:kern w:val="0"/>
                <w:sz w:val="24"/>
                <w:szCs w:val="24"/>
              </w:rPr>
              <w:t>设定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hint="eastAsia"/>
                <w:kern w:val="0"/>
                <w:sz w:val="24"/>
                <w:szCs w:val="24"/>
              </w:rPr>
              <w:t>.护理</w:t>
            </w:r>
            <w:r>
              <w:rPr>
                <w:kern w:val="0"/>
                <w:sz w:val="24"/>
                <w:szCs w:val="24"/>
              </w:rPr>
              <w:t>人员护理时数基准设定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.护理</w:t>
            </w:r>
            <w:r>
              <w:rPr>
                <w:kern w:val="0"/>
                <w:sz w:val="24"/>
                <w:szCs w:val="24"/>
              </w:rPr>
              <w:t>RBRVS工作量明细查询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.护理</w:t>
            </w:r>
            <w:r>
              <w:rPr>
                <w:kern w:val="0"/>
                <w:sz w:val="24"/>
                <w:szCs w:val="24"/>
              </w:rPr>
              <w:t>床日量明细查询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.护理</w:t>
            </w:r>
            <w:r>
              <w:rPr>
                <w:kern w:val="0"/>
                <w:sz w:val="24"/>
                <w:szCs w:val="24"/>
              </w:rPr>
              <w:t>入出院病人明细查询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  <w:r>
              <w:rPr>
                <w:rFonts w:hint="eastAsia"/>
                <w:kern w:val="0"/>
                <w:sz w:val="24"/>
                <w:szCs w:val="24"/>
              </w:rPr>
              <w:t>.护理</w:t>
            </w:r>
            <w:r>
              <w:rPr>
                <w:kern w:val="0"/>
                <w:sz w:val="24"/>
                <w:szCs w:val="24"/>
              </w:rPr>
              <w:t>公卫工作量明细查询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  <w:r>
              <w:rPr>
                <w:rFonts w:hint="eastAsia"/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>护理成本消耗明细查询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</w:t>
            </w:r>
            <w:r>
              <w:rPr>
                <w:rFonts w:hint="eastAsia"/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>护理人员人事成本明细查询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0</w:t>
            </w:r>
            <w:r>
              <w:rPr>
                <w:rFonts w:hint="eastAsia"/>
                <w:kern w:val="0"/>
                <w:sz w:val="24"/>
                <w:szCs w:val="24"/>
              </w:rPr>
              <w:t>. 护理</w:t>
            </w:r>
            <w:r>
              <w:rPr>
                <w:kern w:val="0"/>
                <w:sz w:val="24"/>
                <w:szCs w:val="24"/>
              </w:rPr>
              <w:t>奖励性绩效工资考核设定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</w:t>
            </w:r>
            <w:r>
              <w:rPr>
                <w:rFonts w:hint="eastAsia"/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>护理奖励性绩效工资汇总结果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</w:t>
            </w:r>
            <w:r>
              <w:rPr>
                <w:rFonts w:hint="eastAsia"/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>护理奖励性绩效工资分配设定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医技</w:t>
            </w:r>
            <w:r>
              <w:rPr>
                <w:b/>
                <w:sz w:val="24"/>
                <w:szCs w:val="24"/>
              </w:rPr>
              <w:t>奖励性绩效工资模块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1.医技</w:t>
            </w:r>
            <w:r>
              <w:rPr>
                <w:kern w:val="0"/>
                <w:sz w:val="24"/>
                <w:szCs w:val="24"/>
              </w:rPr>
              <w:t>奖励性绩效工资公式、参数设定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2.医技KPI</w:t>
            </w:r>
            <w:r>
              <w:rPr>
                <w:kern w:val="0"/>
                <w:sz w:val="24"/>
                <w:szCs w:val="24"/>
              </w:rPr>
              <w:t>基准设定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3.医技</w:t>
            </w:r>
            <w:r>
              <w:rPr>
                <w:kern w:val="0"/>
                <w:sz w:val="24"/>
                <w:szCs w:val="24"/>
              </w:rPr>
              <w:t>工作量</w:t>
            </w:r>
            <w:r>
              <w:rPr>
                <w:rFonts w:hint="eastAsia"/>
                <w:kern w:val="0"/>
                <w:sz w:val="24"/>
                <w:szCs w:val="24"/>
              </w:rPr>
              <w:t>明细</w:t>
            </w:r>
            <w:r>
              <w:rPr>
                <w:kern w:val="0"/>
                <w:sz w:val="24"/>
                <w:szCs w:val="24"/>
              </w:rPr>
              <w:t>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4.医技</w:t>
            </w:r>
            <w:r>
              <w:rPr>
                <w:kern w:val="0"/>
                <w:sz w:val="24"/>
                <w:szCs w:val="24"/>
              </w:rPr>
              <w:t>成本</w:t>
            </w:r>
            <w:r>
              <w:rPr>
                <w:rFonts w:hint="eastAsia"/>
                <w:kern w:val="0"/>
                <w:sz w:val="24"/>
                <w:szCs w:val="24"/>
              </w:rPr>
              <w:t>消耗</w:t>
            </w:r>
            <w:r>
              <w:rPr>
                <w:kern w:val="0"/>
                <w:sz w:val="24"/>
                <w:szCs w:val="24"/>
              </w:rPr>
              <w:t>明细查询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5.医技</w:t>
            </w:r>
            <w:r>
              <w:rPr>
                <w:kern w:val="0"/>
                <w:sz w:val="24"/>
                <w:szCs w:val="24"/>
              </w:rPr>
              <w:t>人员</w:t>
            </w:r>
            <w:r>
              <w:rPr>
                <w:rFonts w:hint="eastAsia"/>
                <w:kern w:val="0"/>
                <w:sz w:val="24"/>
                <w:szCs w:val="24"/>
              </w:rPr>
              <w:t>人事成本</w:t>
            </w:r>
            <w:r>
              <w:rPr>
                <w:kern w:val="0"/>
                <w:sz w:val="24"/>
                <w:szCs w:val="24"/>
              </w:rPr>
              <w:t>明细查询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  <w:r>
              <w:rPr>
                <w:rFonts w:hint="eastAsia"/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>医技奖励性绩效工资考核设定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  <w:r>
              <w:rPr>
                <w:rFonts w:hint="eastAsia"/>
                <w:kern w:val="0"/>
                <w:sz w:val="24"/>
                <w:szCs w:val="24"/>
              </w:rPr>
              <w:t>.</w:t>
            </w:r>
            <w:r>
              <w:rPr>
                <w:kern w:val="0"/>
                <w:sz w:val="24"/>
                <w:szCs w:val="24"/>
              </w:rPr>
              <w:t>医技奖励性绩效工资汇总结果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. </w:t>
            </w:r>
            <w:r>
              <w:rPr>
                <w:kern w:val="0"/>
                <w:sz w:val="24"/>
                <w:szCs w:val="24"/>
              </w:rPr>
              <w:t>医技奖励性绩效工资分配设定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成本控制及绩效查询分析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1.分类统计科室/病区各类可控成本分类管理、领用追踪，新增耗用分析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2. 医生、护理、医技各类工作量对比分析（同比/环比）</w:t>
            </w:r>
          </w:p>
        </w:tc>
      </w:tr>
      <w:tr>
        <w:trPr>
          <w:trHeight w:val="296" w:hRule="atLeast"/>
        </w:trPr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3. 提供临床医技科室客户端查询工作量、成本支出及对比分析数据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rPr>
          <w:trHeight w:val="29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数据库迁移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协助医院原数据库数据无损迁移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D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RG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绩效考核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协助</w:t>
            </w:r>
            <w:r>
              <w:rPr>
                <w:rFonts w:hint="eastAsia"/>
                <w:kern w:val="0"/>
                <w:sz w:val="24"/>
                <w:szCs w:val="24"/>
              </w:rPr>
              <w:t>医院完成基于drg绩效考核，其中方案内容包含基于D</w:t>
            </w:r>
            <w:r>
              <w:rPr>
                <w:kern w:val="0"/>
                <w:sz w:val="24"/>
                <w:szCs w:val="24"/>
              </w:rPr>
              <w:t>RG</w:t>
            </w:r>
            <w:r>
              <w:rPr>
                <w:rFonts w:hint="eastAsia"/>
                <w:kern w:val="0"/>
                <w:sz w:val="24"/>
                <w:szCs w:val="24"/>
              </w:rPr>
              <w:t>偏离度绩效，平均住院日，平均住院费用，平均耗材费和平均药费等</w:t>
            </w:r>
          </w:p>
        </w:tc>
      </w:tr>
      <w:tr>
        <w:trPr>
          <w:trHeight w:val="296" w:hRule="atLeast"/>
        </w:trPr>
        <w:tc>
          <w:tcPr>
            <w:tcW w:w="11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D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IP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付费考核模块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协助医院完成基于D</w:t>
            </w:r>
            <w:r>
              <w:rPr>
                <w:kern w:val="0"/>
                <w:sz w:val="24"/>
                <w:szCs w:val="24"/>
              </w:rPr>
              <w:t>IP</w:t>
            </w:r>
            <w:r>
              <w:rPr>
                <w:rFonts w:hint="eastAsia"/>
                <w:kern w:val="0"/>
                <w:sz w:val="24"/>
                <w:szCs w:val="24"/>
              </w:rPr>
              <w:t>费用的绩效考核方案。方案内容包含D</w:t>
            </w:r>
            <w:r>
              <w:rPr>
                <w:kern w:val="0"/>
                <w:sz w:val="24"/>
                <w:szCs w:val="24"/>
              </w:rPr>
              <w:t>IP</w:t>
            </w:r>
            <w:r>
              <w:rPr>
                <w:rFonts w:hint="eastAsia"/>
                <w:kern w:val="0"/>
                <w:sz w:val="24"/>
                <w:szCs w:val="24"/>
              </w:rPr>
              <w:t>组盈亏绩效，D</w:t>
            </w:r>
            <w:r>
              <w:rPr>
                <w:kern w:val="0"/>
                <w:sz w:val="24"/>
                <w:szCs w:val="24"/>
              </w:rPr>
              <w:t>IP</w:t>
            </w:r>
            <w:r>
              <w:rPr>
                <w:rFonts w:hint="eastAsia"/>
                <w:kern w:val="0"/>
                <w:sz w:val="24"/>
                <w:szCs w:val="24"/>
              </w:rPr>
              <w:t>组权重绩效等</w:t>
            </w:r>
          </w:p>
        </w:tc>
      </w:tr>
    </w:tbl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2"/>
        <w:rPr>
          <w:rFonts w:hint="eastAsia"/>
        </w:rPr>
      </w:pPr>
      <w:bookmarkStart w:id="10" w:name="_GoBack"/>
      <w:bookmarkEnd w:id="10"/>
    </w:p>
    <w:p>
      <w:pPr>
        <w:pStyle w:val="4"/>
        <w:spacing w:before="0" w:after="0" w:line="460" w:lineRule="exact"/>
        <w:ind w:left="0" w:leftChars="0" w:firstLine="0" w:firstLineChars="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6"/>
      <w:bookmarkEnd w:id="7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五、承诺书</w:t>
      </w: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4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六、响应供应商关于无重大违法记录书面声明函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4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8"/>
    <w:bookmarkEnd w:id="9"/>
    <w:p>
      <w:pPr>
        <w:pStyle w:val="4"/>
        <w:rPr>
          <w:kern w:val="0"/>
        </w:rPr>
      </w:pPr>
      <w:r>
        <w:rPr>
          <w:rFonts w:hint="eastAsia"/>
          <w:kern w:val="0"/>
        </w:rPr>
        <w:t>七、响应供应商资格证明文件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0BA4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5ECA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5FC6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414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3F8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579CF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8C0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2C4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2D2B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28A8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2B1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2404022"/>
    <w:rsid w:val="024535A0"/>
    <w:rsid w:val="029C7664"/>
    <w:rsid w:val="02F9334A"/>
    <w:rsid w:val="03217B69"/>
    <w:rsid w:val="04697A1A"/>
    <w:rsid w:val="0482288A"/>
    <w:rsid w:val="05791EDF"/>
    <w:rsid w:val="05C068EB"/>
    <w:rsid w:val="06C64923"/>
    <w:rsid w:val="07683FB9"/>
    <w:rsid w:val="079A5E3E"/>
    <w:rsid w:val="08626C5A"/>
    <w:rsid w:val="08A2174C"/>
    <w:rsid w:val="08BC0A60"/>
    <w:rsid w:val="094B46B8"/>
    <w:rsid w:val="09B94F9F"/>
    <w:rsid w:val="0A072DB6"/>
    <w:rsid w:val="0A782765"/>
    <w:rsid w:val="0BAE2C4D"/>
    <w:rsid w:val="0CD93263"/>
    <w:rsid w:val="0CF85DDF"/>
    <w:rsid w:val="0D046532"/>
    <w:rsid w:val="0D3B4EBB"/>
    <w:rsid w:val="0D51729D"/>
    <w:rsid w:val="0F852286"/>
    <w:rsid w:val="103D6CFD"/>
    <w:rsid w:val="10AB4F16"/>
    <w:rsid w:val="11F31059"/>
    <w:rsid w:val="12C50511"/>
    <w:rsid w:val="12FE3A23"/>
    <w:rsid w:val="132B2696"/>
    <w:rsid w:val="13DB5B12"/>
    <w:rsid w:val="14C91E0F"/>
    <w:rsid w:val="16657A77"/>
    <w:rsid w:val="17AF353E"/>
    <w:rsid w:val="18383533"/>
    <w:rsid w:val="188F4DBC"/>
    <w:rsid w:val="19E2098A"/>
    <w:rsid w:val="1ACC7CD2"/>
    <w:rsid w:val="1AD11A1D"/>
    <w:rsid w:val="1BB630ED"/>
    <w:rsid w:val="1C2F4C4D"/>
    <w:rsid w:val="1C395ACC"/>
    <w:rsid w:val="1CC57360"/>
    <w:rsid w:val="1D9F5E03"/>
    <w:rsid w:val="201369F7"/>
    <w:rsid w:val="2021068F"/>
    <w:rsid w:val="20EE50D7"/>
    <w:rsid w:val="21022930"/>
    <w:rsid w:val="218E2416"/>
    <w:rsid w:val="21CD2F3E"/>
    <w:rsid w:val="235D02F2"/>
    <w:rsid w:val="23963804"/>
    <w:rsid w:val="242B4894"/>
    <w:rsid w:val="25675458"/>
    <w:rsid w:val="261332F5"/>
    <w:rsid w:val="26143832"/>
    <w:rsid w:val="27454B8F"/>
    <w:rsid w:val="27B34984"/>
    <w:rsid w:val="291E22D1"/>
    <w:rsid w:val="29524E24"/>
    <w:rsid w:val="2B0D0850"/>
    <w:rsid w:val="2B331CA0"/>
    <w:rsid w:val="2B925CFA"/>
    <w:rsid w:val="2BB1742D"/>
    <w:rsid w:val="2CEB0C53"/>
    <w:rsid w:val="2D236108"/>
    <w:rsid w:val="2F565CA1"/>
    <w:rsid w:val="30D616E4"/>
    <w:rsid w:val="312C634A"/>
    <w:rsid w:val="32110636"/>
    <w:rsid w:val="323B3EF4"/>
    <w:rsid w:val="32A63A63"/>
    <w:rsid w:val="33F60296"/>
    <w:rsid w:val="3472600C"/>
    <w:rsid w:val="34B41D3C"/>
    <w:rsid w:val="35666A5B"/>
    <w:rsid w:val="37072544"/>
    <w:rsid w:val="37405933"/>
    <w:rsid w:val="385F690C"/>
    <w:rsid w:val="38C369F1"/>
    <w:rsid w:val="390F1C37"/>
    <w:rsid w:val="396E1053"/>
    <w:rsid w:val="39804910"/>
    <w:rsid w:val="3A695377"/>
    <w:rsid w:val="3AB02FA5"/>
    <w:rsid w:val="3ABC194A"/>
    <w:rsid w:val="3B3C3A5E"/>
    <w:rsid w:val="3BE70C49"/>
    <w:rsid w:val="3DD35141"/>
    <w:rsid w:val="3E9A1FA2"/>
    <w:rsid w:val="41D13F2D"/>
    <w:rsid w:val="42B75819"/>
    <w:rsid w:val="4311712F"/>
    <w:rsid w:val="4379487C"/>
    <w:rsid w:val="453779AD"/>
    <w:rsid w:val="45E8282B"/>
    <w:rsid w:val="46A2470C"/>
    <w:rsid w:val="478B4B7E"/>
    <w:rsid w:val="478E1645"/>
    <w:rsid w:val="493A685C"/>
    <w:rsid w:val="494871CB"/>
    <w:rsid w:val="4961203A"/>
    <w:rsid w:val="4AD30D16"/>
    <w:rsid w:val="4E6C04F4"/>
    <w:rsid w:val="4F644633"/>
    <w:rsid w:val="4FC7696F"/>
    <w:rsid w:val="4FD85101"/>
    <w:rsid w:val="501C40BF"/>
    <w:rsid w:val="506708F8"/>
    <w:rsid w:val="5224663F"/>
    <w:rsid w:val="5402441A"/>
    <w:rsid w:val="543B3EB0"/>
    <w:rsid w:val="549C5253"/>
    <w:rsid w:val="553E1482"/>
    <w:rsid w:val="58030761"/>
    <w:rsid w:val="58E93DFA"/>
    <w:rsid w:val="5A043337"/>
    <w:rsid w:val="5B1213E7"/>
    <w:rsid w:val="5B386973"/>
    <w:rsid w:val="5D30024A"/>
    <w:rsid w:val="5DC14E07"/>
    <w:rsid w:val="5EEE5CC7"/>
    <w:rsid w:val="5F555D46"/>
    <w:rsid w:val="61B52ACC"/>
    <w:rsid w:val="61FC06FB"/>
    <w:rsid w:val="623954AB"/>
    <w:rsid w:val="62490B14"/>
    <w:rsid w:val="63473BF7"/>
    <w:rsid w:val="636721B0"/>
    <w:rsid w:val="63896C89"/>
    <w:rsid w:val="63C45248"/>
    <w:rsid w:val="67344343"/>
    <w:rsid w:val="6A097E59"/>
    <w:rsid w:val="6B811C71"/>
    <w:rsid w:val="6BBD40E6"/>
    <w:rsid w:val="6C841A18"/>
    <w:rsid w:val="6D433682"/>
    <w:rsid w:val="6E7D2BC3"/>
    <w:rsid w:val="6F084B83"/>
    <w:rsid w:val="711D243B"/>
    <w:rsid w:val="71CC3C20"/>
    <w:rsid w:val="724834E8"/>
    <w:rsid w:val="72E27499"/>
    <w:rsid w:val="73995FEB"/>
    <w:rsid w:val="74546174"/>
    <w:rsid w:val="75BA64AB"/>
    <w:rsid w:val="76C43A85"/>
    <w:rsid w:val="76EC08E6"/>
    <w:rsid w:val="789559D4"/>
    <w:rsid w:val="791800B8"/>
    <w:rsid w:val="7A692C8E"/>
    <w:rsid w:val="7A8A73DB"/>
    <w:rsid w:val="7B034450"/>
    <w:rsid w:val="7B451D8B"/>
    <w:rsid w:val="7B88662C"/>
    <w:rsid w:val="7BAD1EBA"/>
    <w:rsid w:val="7D9677FD"/>
    <w:rsid w:val="7E7E276B"/>
    <w:rsid w:val="7EEC2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3"/>
    <w:qFormat/>
    <w:uiPriority w:val="0"/>
    <w:pPr>
      <w:spacing w:after="120"/>
    </w:pPr>
    <w:rPr>
      <w:sz w:val="24"/>
      <w:szCs w:val="20"/>
    </w:rPr>
  </w:style>
  <w:style w:type="paragraph" w:styleId="7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8">
    <w:name w:val="Document Map"/>
    <w:basedOn w:val="1"/>
    <w:link w:val="61"/>
    <w:qFormat/>
    <w:uiPriority w:val="0"/>
    <w:rPr>
      <w:rFonts w:ascii="宋体"/>
      <w:sz w:val="18"/>
      <w:szCs w:val="18"/>
    </w:rPr>
  </w:style>
  <w:style w:type="paragraph" w:styleId="9">
    <w:name w:val="annotation text"/>
    <w:basedOn w:val="1"/>
    <w:link w:val="45"/>
    <w:semiHidden/>
    <w:qFormat/>
    <w:uiPriority w:val="99"/>
    <w:pPr>
      <w:jc w:val="left"/>
    </w:pPr>
    <w:rPr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8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5">
    <w:name w:val="Balloon Text"/>
    <w:basedOn w:val="1"/>
    <w:link w:val="42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FollowedHyperlink"/>
    <w:qFormat/>
    <w:uiPriority w:val="0"/>
    <w:rPr>
      <w:color w:val="800080"/>
      <w:u w:val="none"/>
    </w:rPr>
  </w:style>
  <w:style w:type="character" w:styleId="30">
    <w:name w:val="Hyperlink"/>
    <w:basedOn w:val="26"/>
    <w:qFormat/>
    <w:uiPriority w:val="99"/>
    <w:rPr>
      <w:color w:val="0000FF"/>
      <w:u w:val="none"/>
    </w:rPr>
  </w:style>
  <w:style w:type="character" w:customStyle="1" w:styleId="31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2">
    <w:name w:val="hang1"/>
    <w:qFormat/>
    <w:uiPriority w:val="0"/>
    <w:rPr>
      <w:rFonts w:cs="Times New Roman"/>
    </w:rPr>
  </w:style>
  <w:style w:type="character" w:customStyle="1" w:styleId="33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4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5">
    <w:name w:val="页眉 字符"/>
    <w:link w:val="17"/>
    <w:semiHidden/>
    <w:qFormat/>
    <w:uiPriority w:val="99"/>
    <w:rPr>
      <w:kern w:val="2"/>
      <w:sz w:val="18"/>
      <w:szCs w:val="18"/>
    </w:rPr>
  </w:style>
  <w:style w:type="character" w:customStyle="1" w:styleId="36">
    <w:name w:val="正文文本 Char1"/>
    <w:qFormat/>
    <w:uiPriority w:val="0"/>
    <w:rPr>
      <w:kern w:val="2"/>
      <w:sz w:val="24"/>
    </w:rPr>
  </w:style>
  <w:style w:type="character" w:customStyle="1" w:styleId="37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8">
    <w:name w:val="纯文本 字符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标题 2 字符"/>
    <w:link w:val="4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页脚 字符"/>
    <w:link w:val="16"/>
    <w:qFormat/>
    <w:locked/>
    <w:uiPriority w:val="99"/>
    <w:rPr>
      <w:kern w:val="2"/>
      <w:sz w:val="18"/>
    </w:rPr>
  </w:style>
  <w:style w:type="character" w:customStyle="1" w:styleId="42">
    <w:name w:val="批注框文本 字符"/>
    <w:link w:val="15"/>
    <w:semiHidden/>
    <w:qFormat/>
    <w:uiPriority w:val="99"/>
    <w:rPr>
      <w:kern w:val="2"/>
      <w:sz w:val="16"/>
      <w:szCs w:val="0"/>
    </w:rPr>
  </w:style>
  <w:style w:type="character" w:customStyle="1" w:styleId="43">
    <w:name w:val="正文文本 字符"/>
    <w:link w:val="2"/>
    <w:qFormat/>
    <w:locked/>
    <w:uiPriority w:val="0"/>
    <w:rPr>
      <w:kern w:val="2"/>
      <w:sz w:val="24"/>
    </w:rPr>
  </w:style>
  <w:style w:type="character" w:customStyle="1" w:styleId="44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批注文字 字符"/>
    <w:link w:val="9"/>
    <w:semiHidden/>
    <w:qFormat/>
    <w:uiPriority w:val="99"/>
    <w:rPr>
      <w:kern w:val="2"/>
      <w:sz w:val="21"/>
      <w:szCs w:val="24"/>
    </w:rPr>
  </w:style>
  <w:style w:type="character" w:customStyle="1" w:styleId="46">
    <w:name w:val="标题 1 字符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7">
    <w:name w:val="bold1"/>
    <w:qFormat/>
    <w:uiPriority w:val="0"/>
    <w:rPr>
      <w:b/>
    </w:rPr>
  </w:style>
  <w:style w:type="character" w:customStyle="1" w:styleId="48">
    <w:name w:val="标题 3 字符"/>
    <w:link w:val="5"/>
    <w:qFormat/>
    <w:uiPriority w:val="0"/>
    <w:rPr>
      <w:b/>
      <w:bCs/>
      <w:kern w:val="2"/>
      <w:sz w:val="32"/>
      <w:szCs w:val="32"/>
    </w:rPr>
  </w:style>
  <w:style w:type="character" w:customStyle="1" w:styleId="49">
    <w:name w:val="apple-converted-space"/>
    <w:qFormat/>
    <w:uiPriority w:val="0"/>
    <w:rPr>
      <w:rFonts w:cs="Times New Roman"/>
    </w:rPr>
  </w:style>
  <w:style w:type="character" w:customStyle="1" w:styleId="50">
    <w:name w:val="日期 字符"/>
    <w:link w:val="14"/>
    <w:qFormat/>
    <w:locked/>
    <w:uiPriority w:val="99"/>
    <w:rPr>
      <w:kern w:val="2"/>
      <w:sz w:val="24"/>
    </w:rPr>
  </w:style>
  <w:style w:type="paragraph" w:customStyle="1" w:styleId="51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2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3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列出段落2"/>
    <w:basedOn w:val="1"/>
    <w:qFormat/>
    <w:uiPriority w:val="0"/>
    <w:pPr>
      <w:ind w:firstLine="420" w:firstLineChars="200"/>
    </w:pPr>
  </w:style>
  <w:style w:type="paragraph" w:customStyle="1" w:styleId="5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8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9">
    <w:name w:val="列出段落11"/>
    <w:basedOn w:val="1"/>
    <w:qFormat/>
    <w:uiPriority w:val="34"/>
    <w:pPr>
      <w:ind w:firstLine="420" w:firstLineChars="200"/>
    </w:pPr>
  </w:style>
  <w:style w:type="paragraph" w:customStyle="1" w:styleId="60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1">
    <w:name w:val="文档结构图 字符"/>
    <w:basedOn w:val="26"/>
    <w:link w:val="8"/>
    <w:qFormat/>
    <w:uiPriority w:val="0"/>
    <w:rPr>
      <w:rFonts w:ascii="宋体"/>
      <w:kern w:val="2"/>
      <w:sz w:val="18"/>
      <w:szCs w:val="18"/>
    </w:rPr>
  </w:style>
  <w:style w:type="paragraph" w:customStyle="1" w:styleId="6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3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bidi="zh-CN"/>
    </w:rPr>
  </w:style>
  <w:style w:type="paragraph" w:customStyle="1" w:styleId="64">
    <w:name w:val="表格文字（居左）"/>
    <w:basedOn w:val="1"/>
    <w:qFormat/>
    <w:uiPriority w:val="0"/>
    <w:pPr>
      <w:spacing w:line="360" w:lineRule="exact"/>
      <w:jc w:val="left"/>
    </w:pPr>
    <w:rPr>
      <w:rFonts w:eastAsia="仿宋_GB2312"/>
      <w:sz w:val="24"/>
    </w:rPr>
  </w:style>
  <w:style w:type="paragraph" w:styleId="65">
    <w:name w:val="List Paragraph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66">
    <w:name w:val="font61"/>
    <w:basedOn w:val="26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2581</Words>
  <Characters>2767</Characters>
  <Lines>26</Lines>
  <Paragraphs>7</Paragraphs>
  <TotalTime>1</TotalTime>
  <ScaleCrop>false</ScaleCrop>
  <LinksUpToDate>false</LinksUpToDate>
  <CharactersWithSpaces>2995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2022-11-11T06:59:00Z</dcterms:created>
  <dc:creator>USER</dc:creator>
  <cp:lastModifiedBy>郭</cp:lastModifiedBy>
  <cp:lastPrinted>2023-01-11T00:38:15Z</cp:lastPrinted>
  <dcterms:modified xsi:type="dcterms:W3CDTF">2023-01-11T02:17:14Z</dcterms:modified>
  <dc:title>南康市环宇招标代理有限公司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3DB6B3C645C44FA5947430FB356A3C4B</vt:lpwstr>
  </property>
</Properties>
</file>