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adjustRightInd w:val="0"/>
        <w:spacing w:beforeAutospacing="0" w:afterAutospacing="0" w:line="500" w:lineRule="exact"/>
        <w:jc w:val="left"/>
        <w:rPr>
          <w:rFonts w:hint="eastAsia" w:ascii="仿宋" w:hAnsi="仿宋" w:eastAsia="仿宋" w:cs="仿宋"/>
          <w:b/>
          <w:bCs/>
          <w:color w:val="auto"/>
          <w:sz w:val="31"/>
          <w:szCs w:val="31"/>
          <w:lang w:val="en-US" w:eastAsia="zh-CN"/>
        </w:rPr>
      </w:pPr>
      <w:r>
        <w:rPr>
          <w:rFonts w:hint="eastAsia" w:ascii="仿宋" w:hAnsi="仿宋" w:eastAsia="仿宋" w:cs="仿宋"/>
          <w:b/>
          <w:bCs/>
          <w:color w:val="auto"/>
          <w:sz w:val="31"/>
          <w:szCs w:val="31"/>
          <w:lang w:eastAsia="zh-CN"/>
        </w:rPr>
        <w:t>附件</w:t>
      </w:r>
      <w:r>
        <w:rPr>
          <w:rFonts w:hint="eastAsia" w:ascii="仿宋" w:hAnsi="仿宋" w:eastAsia="仿宋" w:cs="仿宋"/>
          <w:b/>
          <w:bCs/>
          <w:color w:val="auto"/>
          <w:sz w:val="31"/>
          <w:szCs w:val="31"/>
          <w:lang w:val="en-US" w:eastAsia="zh-CN"/>
        </w:rPr>
        <w:t>1</w:t>
      </w:r>
    </w:p>
    <w:p>
      <w:pPr>
        <w:pStyle w:val="7"/>
        <w:widowControl/>
        <w:adjustRightInd w:val="0"/>
        <w:spacing w:beforeAutospacing="0" w:afterAutospacing="0" w:line="500" w:lineRule="exact"/>
        <w:jc w:val="center"/>
        <w:rPr>
          <w:rFonts w:hint="eastAsia" w:ascii="仿宋" w:hAnsi="仿宋" w:eastAsia="仿宋" w:cs="仿宋"/>
          <w:b/>
          <w:bCs/>
          <w:color w:val="auto"/>
          <w:sz w:val="31"/>
          <w:szCs w:val="31"/>
          <w:lang w:val="en-US" w:eastAsia="zh-CN"/>
        </w:rPr>
      </w:pPr>
      <w:r>
        <w:rPr>
          <w:rFonts w:hint="eastAsia" w:ascii="仿宋" w:hAnsi="仿宋" w:eastAsia="仿宋" w:cs="仿宋"/>
          <w:b/>
          <w:bCs/>
          <w:color w:val="auto"/>
          <w:sz w:val="31"/>
          <w:szCs w:val="31"/>
          <w:lang w:val="en-US" w:eastAsia="zh-CN"/>
        </w:rPr>
        <w:t>政府采购评分细则</w:t>
      </w:r>
    </w:p>
    <w:p>
      <w:pPr>
        <w:pStyle w:val="7"/>
        <w:keepNext w:val="0"/>
        <w:keepLines w:val="0"/>
        <w:pageBreakBefore w:val="0"/>
        <w:widowControl/>
        <w:numPr>
          <w:ilvl w:val="0"/>
          <w:numId w:val="0"/>
        </w:numPr>
        <w:kinsoku/>
        <w:wordWrap/>
        <w:overflowPunct/>
        <w:topLinePunct w:val="0"/>
        <w:autoSpaceDE/>
        <w:autoSpaceDN/>
        <w:bidi w:val="0"/>
        <w:adjustRightInd w:val="0"/>
        <w:spacing w:beforeAutospacing="0" w:afterAutospacing="0" w:line="520" w:lineRule="exact"/>
        <w:jc w:val="left"/>
        <w:textAlignment w:val="auto"/>
        <w:rPr>
          <w:rFonts w:hint="eastAsia" w:ascii="仿宋" w:hAnsi="仿宋" w:eastAsia="仿宋" w:cs="仿宋"/>
          <w:b/>
          <w:color w:val="auto"/>
          <w:sz w:val="32"/>
          <w:szCs w:val="32"/>
        </w:rPr>
      </w:pPr>
    </w:p>
    <w:p>
      <w:pPr>
        <w:pStyle w:val="7"/>
        <w:widowControl/>
        <w:adjustRightInd w:val="0"/>
        <w:spacing w:beforeAutospacing="0" w:afterAutospacing="0" w:line="500" w:lineRule="exact"/>
        <w:jc w:val="right"/>
        <w:rPr>
          <w:rFonts w:hint="eastAsia" w:ascii="仿宋" w:hAnsi="仿宋" w:eastAsia="仿宋" w:cs="仿宋"/>
          <w:b w:val="0"/>
          <w:bCs w:val="0"/>
          <w:color w:val="auto"/>
          <w:sz w:val="32"/>
          <w:szCs w:val="32"/>
        </w:rPr>
      </w:pPr>
    </w:p>
    <w:tbl>
      <w:tblPr>
        <w:tblStyle w:val="8"/>
        <w:tblpPr w:leftFromText="180" w:rightFromText="180" w:vertAnchor="page" w:horzAnchor="page" w:tblpX="1357" w:tblpY="3623"/>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275"/>
        <w:gridCol w:w="780"/>
        <w:gridCol w:w="6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65" w:type="dxa"/>
            <w:shd w:val="clear" w:color="auto" w:fill="auto"/>
            <w:vAlign w:val="center"/>
          </w:tcPr>
          <w:p>
            <w:pPr>
              <w:pStyle w:val="7"/>
              <w:keepNext w:val="0"/>
              <w:keepLines w:val="0"/>
              <w:pageBreakBefore w:val="0"/>
              <w:widowControl/>
              <w:kinsoku/>
              <w:wordWrap/>
              <w:overflowPunct/>
              <w:topLinePunct w:val="0"/>
              <w:autoSpaceDE/>
              <w:autoSpaceDN/>
              <w:bidi w:val="0"/>
              <w:adjustRightInd w:val="0"/>
              <w:spacing w:beforeAutospacing="0" w:afterAutospacing="0" w:line="400" w:lineRule="exact"/>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w:t>
            </w:r>
          </w:p>
        </w:tc>
        <w:tc>
          <w:tcPr>
            <w:tcW w:w="1275" w:type="dxa"/>
            <w:shd w:val="clear" w:color="auto" w:fill="auto"/>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分项内容</w:t>
            </w:r>
          </w:p>
        </w:tc>
        <w:tc>
          <w:tcPr>
            <w:tcW w:w="780" w:type="dxa"/>
            <w:shd w:val="clear" w:color="auto" w:fill="auto"/>
            <w:noWrap/>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分值</w:t>
            </w:r>
          </w:p>
        </w:tc>
        <w:tc>
          <w:tcPr>
            <w:tcW w:w="6240" w:type="dxa"/>
            <w:shd w:val="clear" w:color="auto" w:fill="auto"/>
            <w:noWrap/>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65" w:type="dxa"/>
            <w:shd w:val="clear" w:color="auto" w:fill="auto"/>
            <w:vAlign w:val="center"/>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符合性审查</w:t>
            </w:r>
          </w:p>
        </w:tc>
        <w:tc>
          <w:tcPr>
            <w:tcW w:w="1275" w:type="dxa"/>
            <w:shd w:val="clear" w:color="auto" w:fill="auto"/>
            <w:vAlign w:val="center"/>
          </w:tcPr>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资格</w:t>
            </w:r>
          </w:p>
        </w:tc>
        <w:tc>
          <w:tcPr>
            <w:tcW w:w="780" w:type="dxa"/>
            <w:shd w:val="clear" w:color="auto" w:fill="auto"/>
            <w:noWrap/>
            <w:vAlign w:val="center"/>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35分</w:t>
            </w:r>
          </w:p>
        </w:tc>
        <w:tc>
          <w:tcPr>
            <w:tcW w:w="6240" w:type="dxa"/>
            <w:shd w:val="clear" w:color="auto" w:fill="auto"/>
            <w:noWrap/>
            <w:vAlign w:val="center"/>
          </w:tcPr>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满足报名资格要求的得35分，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5" w:type="dxa"/>
            <w:shd w:val="clear" w:color="auto" w:fill="auto"/>
            <w:vAlign w:val="center"/>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办公场所（9分）</w:t>
            </w:r>
          </w:p>
        </w:tc>
        <w:tc>
          <w:tcPr>
            <w:tcW w:w="1275" w:type="dxa"/>
            <w:shd w:val="clear" w:color="auto" w:fill="auto"/>
            <w:vAlign w:val="center"/>
          </w:tcPr>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服务保障</w:t>
            </w:r>
          </w:p>
        </w:tc>
        <w:tc>
          <w:tcPr>
            <w:tcW w:w="780" w:type="dxa"/>
            <w:shd w:val="clear" w:color="auto" w:fill="auto"/>
            <w:noWrap/>
            <w:vAlign w:val="center"/>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9分</w:t>
            </w:r>
          </w:p>
        </w:tc>
        <w:tc>
          <w:tcPr>
            <w:tcW w:w="6240" w:type="dxa"/>
            <w:shd w:val="clear" w:color="auto" w:fill="auto"/>
            <w:noWrap/>
            <w:vAlign w:val="center"/>
          </w:tcPr>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在赣州市中心城区范围（章贡区、赣州市经济开发区）内有固定办公场所（并具备开标、评标室、录像设备），办公场所面积150（含）平方米以下得3分，150（不含）-300（含）平米得6分，300平米以上的得9分。</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上述办公场所提供多处的，只以一处场所计分，不得多处累加，在同一栋建筑物内的办公场所属于单处办公场所。</w:t>
            </w:r>
          </w:p>
          <w:p>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评审依据：</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1.多处办公场所地址以工商营业执照上的经营地址为准。</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建筑面积均以房屋产权证载明的对应办公场所面积为准。自有产权是指投标企业或者法定代表人或股东自有，自有产权房屋的以房屋产权证原件评分，同时还须提供工商局出具的股东证明原件。租赁房屋的提供有效期内投标企业与房主签订的租赁合同原件，同时还须提供所租房屋的房屋产权证书复印件。</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3.投标文件中应提供不少于4张办公场所室内彩色照片和1张公司大门位置的彩色照片（照片尺寸：5寸）。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65" w:type="dxa"/>
            <w:vMerge w:val="restart"/>
            <w:shd w:val="clear" w:color="auto" w:fill="auto"/>
            <w:vAlign w:val="center"/>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业绩及人员（41分）</w:t>
            </w:r>
          </w:p>
        </w:tc>
        <w:tc>
          <w:tcPr>
            <w:tcW w:w="1275" w:type="dxa"/>
            <w:shd w:val="clear" w:color="auto" w:fill="auto"/>
            <w:vAlign w:val="center"/>
          </w:tcPr>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业绩</w:t>
            </w:r>
          </w:p>
        </w:tc>
        <w:tc>
          <w:tcPr>
            <w:tcW w:w="780" w:type="dxa"/>
            <w:shd w:val="clear" w:color="auto" w:fill="auto"/>
            <w:vAlign w:val="center"/>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26分</w:t>
            </w:r>
          </w:p>
        </w:tc>
        <w:tc>
          <w:tcPr>
            <w:tcW w:w="6240" w:type="dxa"/>
            <w:shd w:val="clear" w:color="auto" w:fill="auto"/>
            <w:vAlign w:val="center"/>
          </w:tcPr>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 报名单位提供赣州市范围内2019年1月1日以后完成过100万元以下（不含100万元）货物类或服务类或工程类政府采购代理工作，每提供1个得1分，医院业务加0.2分，本项满分4.8分。</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 报名单位提供赣州市范围内2019年1月1日以后完成过100万元-500万元（不含500万元）货物类或服务类或工程类政府采购代理工作，每提供1个得2.5分，医院业务加0.2分，本项满分10.8分。</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3.报名单位提供赣州市范围内2019年1月1日以后完成过500万元-1000万元（不含1000万元）货物类或服务类或工程类政府采购代理工作，每提供1个得4分，医院业务加0.2分，本项满分4.2分。</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4.报名单位提供赣州市范围内2019年1月1日以后完成过1000万元以上货物类或服务类或工程类政府采购代理工作，每提供1个得6分，医院业务加0.2分，本项满分6.2分。</w:t>
            </w:r>
          </w:p>
          <w:p>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评审依据：</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1.所有业绩时间均以成交通知书原件的落款时间为准。</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2.报名单位须提供政府采购招标代理合同、网上查询招标公告及中标结果公告的公示公告，公告内容须能体现招标代理机构名称，及成交通知书复印件。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1" w:hRule="atLeast"/>
        </w:trPr>
        <w:tc>
          <w:tcPr>
            <w:tcW w:w="1165" w:type="dxa"/>
            <w:vMerge w:val="continue"/>
            <w:shd w:val="clear" w:color="auto" w:fill="auto"/>
            <w:vAlign w:val="center"/>
          </w:tcPr>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p>
        </w:tc>
        <w:tc>
          <w:tcPr>
            <w:tcW w:w="1275" w:type="dxa"/>
            <w:shd w:val="clear" w:color="auto" w:fill="auto"/>
            <w:vAlign w:val="center"/>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专业技术人员</w:t>
            </w:r>
          </w:p>
        </w:tc>
        <w:tc>
          <w:tcPr>
            <w:tcW w:w="780" w:type="dxa"/>
            <w:shd w:val="clear" w:color="auto" w:fill="auto"/>
            <w:vAlign w:val="center"/>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15分</w:t>
            </w:r>
          </w:p>
        </w:tc>
        <w:tc>
          <w:tcPr>
            <w:tcW w:w="6240" w:type="dxa"/>
            <w:shd w:val="clear" w:color="auto" w:fill="auto"/>
            <w:vAlign w:val="center"/>
          </w:tcPr>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1.报名单位为本单位项目提供服务的人员中，具有有效期内的政府采购人员培训合格证的，每提供一个得3分；满分15分。</w:t>
            </w:r>
          </w:p>
          <w:p>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评分依据:</w:t>
            </w:r>
            <w:r>
              <w:rPr>
                <w:rFonts w:hint="eastAsia" w:ascii="仿宋" w:hAnsi="仿宋" w:eastAsia="仿宋" w:cs="仿宋"/>
                <w:color w:val="auto"/>
                <w:kern w:val="2"/>
                <w:sz w:val="24"/>
                <w:szCs w:val="24"/>
                <w:lang w:val="en-US" w:eastAsia="zh-CN" w:bidi="ar-SA"/>
              </w:rPr>
              <w:t>提供政府采购人员培训合格证书扫描件或影印件（盖有2020年培训专用章或提供盖有2020年培训电子章的扫描件或影印件加盖公章，原件备查），并提供供应商从开标截止时间之日起前连续6个月（7-12月份）为其缴纳社保证明材料原件扫描件加盖公章或与其签订的劳动合同原件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165" w:type="dxa"/>
            <w:shd w:val="clear" w:color="auto" w:fill="auto"/>
            <w:vAlign w:val="center"/>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服务方案及措施（15分）</w:t>
            </w:r>
          </w:p>
        </w:tc>
        <w:tc>
          <w:tcPr>
            <w:tcW w:w="1275" w:type="dxa"/>
            <w:shd w:val="clear" w:color="auto" w:fill="auto"/>
            <w:vAlign w:val="center"/>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服务方案及措施</w:t>
            </w:r>
          </w:p>
        </w:tc>
        <w:tc>
          <w:tcPr>
            <w:tcW w:w="780" w:type="dxa"/>
            <w:shd w:val="clear" w:color="auto" w:fill="auto"/>
            <w:vAlign w:val="center"/>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15分</w:t>
            </w:r>
          </w:p>
        </w:tc>
        <w:tc>
          <w:tcPr>
            <w:tcW w:w="6240" w:type="dxa"/>
            <w:shd w:val="clear" w:color="auto" w:fill="auto"/>
            <w:vAlign w:val="center"/>
          </w:tcPr>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1.对招标代理工作流程及计划安排进行对比打分，最高得5分，相邻递减1分，最低得1分，不提供不得分。</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2.对招标代理服务质量保证措施进行对比打分，最高得5分，相邻递减1分，最低得1分，不提供不得分。</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3.对招标代理职业道德、廉洁从业措施进行对比打分，最高得5分，相邻递减1分，最低得1分，不提供不得分。</w:t>
            </w:r>
          </w:p>
        </w:tc>
      </w:tr>
    </w:tbl>
    <w:p>
      <w:pPr>
        <w:pStyle w:val="7"/>
        <w:widowControl/>
        <w:adjustRightInd w:val="0"/>
        <w:spacing w:beforeAutospacing="0" w:afterAutospacing="0" w:line="500" w:lineRule="exact"/>
        <w:jc w:val="right"/>
        <w:rPr>
          <w:rFonts w:hint="eastAsia" w:ascii="仿宋" w:hAnsi="仿宋" w:eastAsia="仿宋" w:cs="仿宋"/>
          <w:b w:val="0"/>
          <w:bCs w:val="0"/>
          <w:color w:val="auto"/>
          <w:sz w:val="32"/>
          <w:szCs w:val="32"/>
        </w:rPr>
      </w:pPr>
    </w:p>
    <w:p>
      <w:pPr>
        <w:pStyle w:val="7"/>
        <w:widowControl/>
        <w:adjustRightInd w:val="0"/>
        <w:spacing w:beforeAutospacing="0" w:afterAutospacing="0" w:line="500" w:lineRule="exact"/>
        <w:jc w:val="right"/>
        <w:rPr>
          <w:rFonts w:hint="eastAsia" w:ascii="仿宋" w:hAnsi="仿宋" w:eastAsia="仿宋" w:cs="仿宋"/>
          <w:b w:val="0"/>
          <w:bCs w:val="0"/>
          <w:color w:val="auto"/>
          <w:sz w:val="32"/>
          <w:szCs w:val="32"/>
        </w:rPr>
      </w:pPr>
    </w:p>
    <w:p>
      <w:pPr>
        <w:pStyle w:val="7"/>
        <w:widowControl/>
        <w:adjustRightInd w:val="0"/>
        <w:spacing w:beforeAutospacing="0" w:afterAutospacing="0" w:line="500" w:lineRule="exact"/>
        <w:rPr>
          <w:rFonts w:ascii="仿宋" w:hAnsi="仿宋" w:eastAsia="仿宋" w:cs="仿宋"/>
          <w:color w:val="auto"/>
          <w:sz w:val="31"/>
          <w:szCs w:val="31"/>
        </w:rPr>
      </w:pPr>
    </w:p>
    <w:p>
      <w:pPr>
        <w:rPr>
          <w:color w:val="auto"/>
          <w:sz w:val="21"/>
          <w:szCs w:val="21"/>
        </w:rPr>
      </w:pPr>
    </w:p>
    <w:p>
      <w:pPr>
        <w:pStyle w:val="2"/>
        <w:ind w:left="0" w:leftChars="0" w:right="1470" w:firstLine="0" w:firstLineChars="0"/>
        <w:jc w:val="left"/>
        <w:rPr>
          <w:rFonts w:hint="eastAsia"/>
          <w:b/>
          <w:bCs/>
          <w:color w:val="auto"/>
          <w:sz w:val="28"/>
          <w:szCs w:val="28"/>
          <w:lang w:eastAsia="zh-CN"/>
        </w:rPr>
      </w:pPr>
    </w:p>
    <w:p>
      <w:pPr>
        <w:pStyle w:val="2"/>
        <w:ind w:left="0" w:leftChars="0" w:right="1470" w:firstLine="0" w:firstLineChars="0"/>
        <w:jc w:val="left"/>
        <w:rPr>
          <w:rFonts w:hint="default" w:eastAsia="宋体"/>
          <w:b/>
          <w:bCs/>
          <w:color w:val="auto"/>
          <w:sz w:val="28"/>
          <w:szCs w:val="28"/>
          <w:lang w:val="en-US" w:eastAsia="zh-CN"/>
        </w:rPr>
      </w:pPr>
      <w:r>
        <w:rPr>
          <w:rFonts w:hint="eastAsia"/>
          <w:b/>
          <w:bCs/>
          <w:color w:val="auto"/>
          <w:sz w:val="28"/>
          <w:szCs w:val="28"/>
          <w:lang w:eastAsia="zh-CN"/>
        </w:rPr>
        <w:t>附件</w:t>
      </w:r>
      <w:r>
        <w:rPr>
          <w:rFonts w:hint="eastAsia"/>
          <w:b/>
          <w:bCs/>
          <w:color w:val="auto"/>
          <w:sz w:val="28"/>
          <w:szCs w:val="28"/>
          <w:lang w:val="en-US" w:eastAsia="zh-CN"/>
        </w:rPr>
        <w:t>2</w:t>
      </w:r>
    </w:p>
    <w:p>
      <w:pPr>
        <w:pStyle w:val="2"/>
        <w:ind w:left="1470" w:right="1470"/>
        <w:jc w:val="center"/>
        <w:rPr>
          <w:b/>
          <w:bCs/>
          <w:color w:val="auto"/>
          <w:sz w:val="28"/>
          <w:szCs w:val="28"/>
        </w:rPr>
      </w:pPr>
      <w:bookmarkStart w:id="0" w:name="_GoBack"/>
      <w:r>
        <w:rPr>
          <w:rFonts w:hint="eastAsia"/>
          <w:b/>
          <w:bCs/>
          <w:color w:val="auto"/>
          <w:sz w:val="28"/>
          <w:szCs w:val="28"/>
        </w:rPr>
        <w:t>招标代理及造价咨询评分细则</w:t>
      </w:r>
    </w:p>
    <w:bookmarkEnd w:id="0"/>
    <w:tbl>
      <w:tblPr>
        <w:tblStyle w:val="8"/>
        <w:tblpPr w:leftFromText="180" w:rightFromText="180" w:vertAnchor="page" w:horzAnchor="page" w:tblpXSpec="center" w:tblpY="14279"/>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215"/>
        <w:gridCol w:w="1035"/>
        <w:gridCol w:w="5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hRule="atLeast"/>
          <w:jc w:val="center"/>
        </w:trPr>
        <w:tc>
          <w:tcPr>
            <w:tcW w:w="1105" w:type="dxa"/>
            <w:shd w:val="clear" w:color="auto" w:fill="auto"/>
            <w:vAlign w:val="center"/>
          </w:tcPr>
          <w:p>
            <w:pPr>
              <w:keepNext w:val="0"/>
              <w:keepLines w:val="0"/>
              <w:pageBreakBefore w:val="0"/>
              <w:tabs>
                <w:tab w:val="left" w:pos="0"/>
              </w:tabs>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项目</w:t>
            </w:r>
          </w:p>
        </w:tc>
        <w:tc>
          <w:tcPr>
            <w:tcW w:w="1215" w:type="dxa"/>
            <w:shd w:val="clear" w:color="auto" w:fill="auto"/>
            <w:vAlign w:val="center"/>
          </w:tcPr>
          <w:p>
            <w:pPr>
              <w:keepNext w:val="0"/>
              <w:keepLines w:val="0"/>
              <w:pageBreakBefore w:val="0"/>
              <w:tabs>
                <w:tab w:val="left" w:pos="0"/>
              </w:tabs>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分项内容</w:t>
            </w:r>
          </w:p>
        </w:tc>
        <w:tc>
          <w:tcPr>
            <w:tcW w:w="1035" w:type="dxa"/>
            <w:shd w:val="clear" w:color="auto" w:fill="auto"/>
            <w:noWrap/>
            <w:vAlign w:val="center"/>
          </w:tcPr>
          <w:p>
            <w:pPr>
              <w:keepNext w:val="0"/>
              <w:keepLines w:val="0"/>
              <w:pageBreakBefore w:val="0"/>
              <w:tabs>
                <w:tab w:val="left" w:pos="0"/>
              </w:tabs>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分值</w:t>
            </w:r>
          </w:p>
        </w:tc>
        <w:tc>
          <w:tcPr>
            <w:tcW w:w="5935" w:type="dxa"/>
            <w:shd w:val="clear" w:color="auto" w:fill="auto"/>
            <w:noWrap/>
            <w:vAlign w:val="center"/>
          </w:tcPr>
          <w:p>
            <w:pPr>
              <w:keepNext w:val="0"/>
              <w:keepLines w:val="0"/>
              <w:pageBreakBefore w:val="0"/>
              <w:tabs>
                <w:tab w:val="left" w:pos="0"/>
              </w:tabs>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105" w:type="dxa"/>
            <w:shd w:val="clear" w:color="auto" w:fill="auto"/>
            <w:vAlign w:val="center"/>
          </w:tcPr>
          <w:p>
            <w:pPr>
              <w:keepNext w:val="0"/>
              <w:keepLines w:val="0"/>
              <w:pageBreakBefore w:val="0"/>
              <w:tabs>
                <w:tab w:val="left" w:pos="0"/>
              </w:tabs>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符合性审查</w:t>
            </w:r>
          </w:p>
        </w:tc>
        <w:tc>
          <w:tcPr>
            <w:tcW w:w="1215" w:type="dxa"/>
            <w:shd w:val="clear" w:color="auto" w:fill="auto"/>
            <w:vAlign w:val="center"/>
          </w:tcPr>
          <w:p>
            <w:pPr>
              <w:keepNext w:val="0"/>
              <w:keepLines w:val="0"/>
              <w:pageBreakBefore w:val="0"/>
              <w:tabs>
                <w:tab w:val="left" w:pos="0"/>
              </w:tabs>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资格</w:t>
            </w:r>
          </w:p>
        </w:tc>
        <w:tc>
          <w:tcPr>
            <w:tcW w:w="1035" w:type="dxa"/>
            <w:shd w:val="clear" w:color="auto" w:fill="auto"/>
            <w:noWrap/>
            <w:vAlign w:val="center"/>
          </w:tcPr>
          <w:p>
            <w:pPr>
              <w:keepNext w:val="0"/>
              <w:keepLines w:val="0"/>
              <w:pageBreakBefore w:val="0"/>
              <w:tabs>
                <w:tab w:val="left" w:pos="0"/>
              </w:tabs>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35.4</w:t>
            </w:r>
            <w:r>
              <w:rPr>
                <w:rFonts w:hint="eastAsia" w:ascii="仿宋" w:hAnsi="仿宋" w:eastAsia="仿宋" w:cs="仿宋"/>
                <w:color w:val="auto"/>
                <w:sz w:val="24"/>
                <w:szCs w:val="24"/>
                <w:lang w:eastAsia="zh-CN"/>
              </w:rPr>
              <w:t>分</w:t>
            </w:r>
          </w:p>
        </w:tc>
        <w:tc>
          <w:tcPr>
            <w:tcW w:w="5935" w:type="dxa"/>
            <w:shd w:val="clear" w:color="auto" w:fill="auto"/>
            <w:noWrap/>
            <w:vAlign w:val="center"/>
          </w:tcPr>
          <w:p>
            <w:pPr>
              <w:keepNext w:val="0"/>
              <w:keepLines w:val="0"/>
              <w:pageBreakBefore w:val="0"/>
              <w:tabs>
                <w:tab w:val="left" w:pos="0"/>
              </w:tabs>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满足报名资格要求的得</w:t>
            </w:r>
            <w:r>
              <w:rPr>
                <w:rFonts w:hint="eastAsia" w:ascii="仿宋" w:hAnsi="仿宋" w:eastAsia="仿宋" w:cs="仿宋"/>
                <w:color w:val="auto"/>
                <w:sz w:val="24"/>
                <w:szCs w:val="24"/>
                <w:lang w:val="en-US" w:eastAsia="zh-CN"/>
              </w:rPr>
              <w:t>35.4</w:t>
            </w:r>
            <w:r>
              <w:rPr>
                <w:rFonts w:hint="eastAsia" w:ascii="仿宋" w:hAnsi="仿宋" w:eastAsia="仿宋" w:cs="仿宋"/>
                <w:color w:val="auto"/>
                <w:sz w:val="24"/>
                <w:szCs w:val="24"/>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05" w:type="dxa"/>
            <w:shd w:val="clear" w:color="auto" w:fill="auto"/>
            <w:textDirection w:val="tbLrV"/>
            <w:vAlign w:val="center"/>
          </w:tcPr>
          <w:p>
            <w:pPr>
              <w:keepNext w:val="0"/>
              <w:keepLines w:val="0"/>
              <w:pageBreakBefore w:val="0"/>
              <w:tabs>
                <w:tab w:val="left" w:pos="0"/>
              </w:tabs>
              <w:kinsoku/>
              <w:wordWrap/>
              <w:overflowPunct/>
              <w:topLinePunct w:val="0"/>
              <w:autoSpaceDE/>
              <w:autoSpaceDN/>
              <w:bidi w:val="0"/>
              <w:spacing w:line="40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办公场所</w:t>
            </w:r>
          </w:p>
        </w:tc>
        <w:tc>
          <w:tcPr>
            <w:tcW w:w="1215" w:type="dxa"/>
            <w:shd w:val="clear" w:color="auto" w:fill="auto"/>
            <w:textDirection w:val="tbLrV"/>
            <w:vAlign w:val="center"/>
          </w:tcPr>
          <w:p>
            <w:pPr>
              <w:keepNext w:val="0"/>
              <w:keepLines w:val="0"/>
              <w:pageBreakBefore w:val="0"/>
              <w:tabs>
                <w:tab w:val="left" w:pos="0"/>
              </w:tabs>
              <w:kinsoku/>
              <w:wordWrap/>
              <w:overflowPunct/>
              <w:topLinePunct w:val="0"/>
              <w:autoSpaceDE/>
              <w:autoSpaceDN/>
              <w:bidi w:val="0"/>
              <w:spacing w:line="40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服务保障</w:t>
            </w:r>
          </w:p>
        </w:tc>
        <w:tc>
          <w:tcPr>
            <w:tcW w:w="1035" w:type="dxa"/>
            <w:shd w:val="clear" w:color="auto" w:fill="auto"/>
            <w:noWrap/>
            <w:vAlign w:val="center"/>
          </w:tcPr>
          <w:p>
            <w:pPr>
              <w:keepNext w:val="0"/>
              <w:keepLines w:val="0"/>
              <w:pageBreakBefore w:val="0"/>
              <w:tabs>
                <w:tab w:val="left" w:pos="0"/>
              </w:tabs>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9分</w:t>
            </w:r>
          </w:p>
        </w:tc>
        <w:tc>
          <w:tcPr>
            <w:tcW w:w="5935" w:type="dxa"/>
            <w:shd w:val="clear" w:color="auto" w:fill="auto"/>
            <w:noWrap/>
            <w:vAlign w:val="center"/>
          </w:tcPr>
          <w:p>
            <w:pPr>
              <w:keepNext w:val="0"/>
              <w:keepLines w:val="0"/>
              <w:pageBreakBefore w:val="0"/>
              <w:tabs>
                <w:tab w:val="left" w:pos="0"/>
              </w:tabs>
              <w:kinsoku/>
              <w:wordWrap/>
              <w:overflowPunct/>
              <w:topLinePunct w:val="0"/>
              <w:autoSpaceDE/>
              <w:autoSpaceDN/>
              <w:bidi w:val="0"/>
              <w:spacing w:line="400" w:lineRule="exact"/>
              <w:ind w:firstLine="240" w:firstLineChars="1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在赣州市中心城区范围（章贡区、赣州市经济开发区）内有固定办公场所（并具备开标、评标室</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录像设备），办公场所面积</w:t>
            </w:r>
            <w:r>
              <w:rPr>
                <w:rFonts w:hint="eastAsia" w:ascii="仿宋" w:hAnsi="仿宋" w:eastAsia="仿宋" w:cs="仿宋"/>
                <w:color w:val="auto"/>
                <w:sz w:val="24"/>
                <w:szCs w:val="24"/>
                <w:lang w:val="en-US" w:eastAsia="zh-CN"/>
              </w:rPr>
              <w:t>150</w:t>
            </w:r>
            <w:r>
              <w:rPr>
                <w:rFonts w:hint="eastAsia" w:ascii="仿宋" w:hAnsi="仿宋" w:eastAsia="仿宋" w:cs="仿宋"/>
                <w:color w:val="auto"/>
                <w:sz w:val="24"/>
                <w:szCs w:val="24"/>
                <w:lang w:eastAsia="zh-CN"/>
              </w:rPr>
              <w:t>（含）</w:t>
            </w:r>
            <w:r>
              <w:rPr>
                <w:rFonts w:hint="eastAsia" w:ascii="仿宋" w:hAnsi="仿宋" w:eastAsia="仿宋" w:cs="仿宋"/>
                <w:color w:val="auto"/>
                <w:sz w:val="24"/>
                <w:szCs w:val="24"/>
                <w:lang w:val="en-US" w:eastAsia="zh-CN"/>
              </w:rPr>
              <w:t>平方米以下得3分，150</w:t>
            </w:r>
            <w:r>
              <w:rPr>
                <w:rFonts w:hint="eastAsia" w:ascii="仿宋" w:hAnsi="仿宋" w:eastAsia="仿宋" w:cs="仿宋"/>
                <w:color w:val="auto"/>
                <w:sz w:val="24"/>
                <w:szCs w:val="24"/>
                <w:lang w:eastAsia="zh-CN"/>
              </w:rPr>
              <w:t>（不含）-</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lang w:eastAsia="zh-CN"/>
              </w:rPr>
              <w:t>0（含）平米得</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分，</w:t>
            </w:r>
            <w:r>
              <w:rPr>
                <w:rFonts w:hint="eastAsia" w:ascii="仿宋" w:hAnsi="仿宋" w:eastAsia="仿宋" w:cs="仿宋"/>
                <w:color w:val="auto"/>
                <w:sz w:val="24"/>
                <w:szCs w:val="24"/>
                <w:lang w:val="en-US" w:eastAsia="zh-CN"/>
              </w:rPr>
              <w:t>300</w:t>
            </w:r>
            <w:r>
              <w:rPr>
                <w:rFonts w:hint="eastAsia" w:ascii="仿宋" w:hAnsi="仿宋" w:eastAsia="仿宋" w:cs="仿宋"/>
                <w:color w:val="auto"/>
                <w:sz w:val="24"/>
                <w:szCs w:val="24"/>
                <w:lang w:eastAsia="zh-CN"/>
              </w:rPr>
              <w:t>平米以上的得</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分。</w:t>
            </w:r>
          </w:p>
          <w:p>
            <w:pPr>
              <w:keepNext w:val="0"/>
              <w:keepLines w:val="0"/>
              <w:pageBreakBefore w:val="0"/>
              <w:tabs>
                <w:tab w:val="left" w:pos="0"/>
              </w:tabs>
              <w:kinsoku/>
              <w:wordWrap/>
              <w:overflowPunct/>
              <w:topLinePunct w:val="0"/>
              <w:autoSpaceDE/>
              <w:autoSpaceDN/>
              <w:bidi w:val="0"/>
              <w:spacing w:line="400" w:lineRule="exact"/>
              <w:ind w:firstLine="240" w:firstLineChars="1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上述办公场所提供多处的，只以一处场所计分，不得多处累加，在同一栋建筑物内的办公场所属于单处办公场所。</w:t>
            </w:r>
          </w:p>
          <w:p>
            <w:pPr>
              <w:keepNext w:val="0"/>
              <w:keepLines w:val="0"/>
              <w:pageBreakBefore w:val="0"/>
              <w:tabs>
                <w:tab w:val="left" w:pos="0"/>
              </w:tabs>
              <w:kinsoku/>
              <w:wordWrap/>
              <w:overflowPunct/>
              <w:topLinePunct w:val="0"/>
              <w:autoSpaceDE/>
              <w:autoSpaceDN/>
              <w:bidi w:val="0"/>
              <w:spacing w:line="400" w:lineRule="exact"/>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评审依据：</w:t>
            </w:r>
          </w:p>
          <w:p>
            <w:pPr>
              <w:keepNext w:val="0"/>
              <w:keepLines w:val="0"/>
              <w:pageBreakBefore w:val="0"/>
              <w:tabs>
                <w:tab w:val="left" w:pos="0"/>
              </w:tabs>
              <w:kinsoku/>
              <w:wordWrap/>
              <w:overflowPunct/>
              <w:topLinePunct w:val="0"/>
              <w:autoSpaceDE/>
              <w:autoSpaceDN/>
              <w:bidi w:val="0"/>
              <w:spacing w:line="400" w:lineRule="exact"/>
              <w:ind w:firstLine="240" w:firstLineChars="1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 多处办公场所地址以工商营业执照上的经营地址为准。</w:t>
            </w:r>
          </w:p>
          <w:p>
            <w:pPr>
              <w:keepNext w:val="0"/>
              <w:keepLines w:val="0"/>
              <w:pageBreakBefore w:val="0"/>
              <w:tabs>
                <w:tab w:val="left" w:pos="0"/>
              </w:tabs>
              <w:kinsoku/>
              <w:wordWrap/>
              <w:overflowPunct/>
              <w:topLinePunct w:val="0"/>
              <w:autoSpaceDE/>
              <w:autoSpaceDN/>
              <w:bidi w:val="0"/>
              <w:spacing w:line="400" w:lineRule="exact"/>
              <w:ind w:firstLine="240" w:firstLineChars="1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 建筑面积均以房屋产权证载明的对应办公场所面积为准。自有产权是指投标企业或者法定代表人或股东自有，自有产权房屋的以房屋产权证原件评分，同时还须提供工商局出具的股东证明原件。租赁房屋的提供有效期内投标企业与房主签订的租赁合同原件，同时还须提供所租房屋的房屋产权证书复印件。</w:t>
            </w:r>
          </w:p>
          <w:p>
            <w:pPr>
              <w:keepNext w:val="0"/>
              <w:keepLines w:val="0"/>
              <w:pageBreakBefore w:val="0"/>
              <w:tabs>
                <w:tab w:val="left" w:pos="0"/>
              </w:tabs>
              <w:kinsoku/>
              <w:wordWrap/>
              <w:overflowPunct/>
              <w:topLinePunct w:val="0"/>
              <w:autoSpaceDE/>
              <w:autoSpaceDN/>
              <w:bidi w:val="0"/>
              <w:spacing w:line="400" w:lineRule="exact"/>
              <w:ind w:firstLine="240" w:firstLineChars="1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3.投标文件中应提供不少于4张办公场所室内彩色照片和1张公司大门位置的彩色照片（照片尺寸：5寸）。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05" w:type="dxa"/>
            <w:vMerge w:val="restart"/>
            <w:shd w:val="clear" w:color="auto" w:fill="auto"/>
            <w:vAlign w:val="center"/>
          </w:tcPr>
          <w:p>
            <w:pPr>
              <w:keepNext w:val="0"/>
              <w:keepLines w:val="0"/>
              <w:pageBreakBefore w:val="0"/>
              <w:tabs>
                <w:tab w:val="left" w:pos="0"/>
              </w:tabs>
              <w:kinsoku/>
              <w:wordWrap/>
              <w:overflowPunct/>
              <w:topLinePunct w:val="0"/>
              <w:autoSpaceDE/>
              <w:autoSpaceDN/>
              <w:bidi w:val="0"/>
              <w:spacing w:line="40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业绩及人员（</w:t>
            </w:r>
            <w:r>
              <w:rPr>
                <w:rFonts w:hint="eastAsia" w:ascii="仿宋" w:hAnsi="仿宋" w:eastAsia="仿宋" w:cs="仿宋"/>
                <w:color w:val="auto"/>
                <w:sz w:val="24"/>
                <w:szCs w:val="24"/>
                <w:lang w:val="en-US" w:eastAsia="zh-CN"/>
              </w:rPr>
              <w:t>40.6</w:t>
            </w:r>
            <w:r>
              <w:rPr>
                <w:rFonts w:hint="eastAsia" w:ascii="仿宋" w:hAnsi="仿宋" w:eastAsia="仿宋" w:cs="仿宋"/>
                <w:color w:val="auto"/>
                <w:sz w:val="24"/>
                <w:szCs w:val="24"/>
                <w:lang w:eastAsia="zh-CN"/>
              </w:rPr>
              <w:t>分）</w:t>
            </w:r>
          </w:p>
        </w:tc>
        <w:tc>
          <w:tcPr>
            <w:tcW w:w="1215" w:type="dxa"/>
            <w:shd w:val="clear" w:color="auto" w:fill="auto"/>
            <w:vAlign w:val="center"/>
          </w:tcPr>
          <w:p>
            <w:pPr>
              <w:keepNext w:val="0"/>
              <w:keepLines w:val="0"/>
              <w:pageBreakBefore w:val="0"/>
              <w:tabs>
                <w:tab w:val="left" w:pos="0"/>
              </w:tabs>
              <w:kinsoku/>
              <w:wordWrap/>
              <w:overflowPunct/>
              <w:topLinePunct w:val="0"/>
              <w:autoSpaceDE/>
              <w:autoSpaceDN/>
              <w:bidi w:val="0"/>
              <w:spacing w:line="40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业绩</w:t>
            </w:r>
          </w:p>
        </w:tc>
        <w:tc>
          <w:tcPr>
            <w:tcW w:w="1035" w:type="dxa"/>
            <w:shd w:val="clear" w:color="auto" w:fill="auto"/>
            <w:vAlign w:val="center"/>
          </w:tcPr>
          <w:p>
            <w:pPr>
              <w:keepNext w:val="0"/>
              <w:keepLines w:val="0"/>
              <w:pageBreakBefore w:val="0"/>
              <w:tabs>
                <w:tab w:val="left" w:pos="0"/>
              </w:tabs>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p>
          <w:p>
            <w:pPr>
              <w:keepNext w:val="0"/>
              <w:keepLines w:val="0"/>
              <w:pageBreakBefore w:val="0"/>
              <w:tabs>
                <w:tab w:val="left" w:pos="0"/>
              </w:tabs>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p>
          <w:p>
            <w:pPr>
              <w:keepNext w:val="0"/>
              <w:keepLines w:val="0"/>
              <w:pageBreakBefore w:val="0"/>
              <w:tabs>
                <w:tab w:val="left" w:pos="0"/>
              </w:tabs>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p>
          <w:p>
            <w:pPr>
              <w:keepNext w:val="0"/>
              <w:keepLines w:val="0"/>
              <w:pageBreakBefore w:val="0"/>
              <w:tabs>
                <w:tab w:val="left" w:pos="0"/>
              </w:tabs>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p>
          <w:p>
            <w:pPr>
              <w:keepNext w:val="0"/>
              <w:keepLines w:val="0"/>
              <w:pageBreakBefore w:val="0"/>
              <w:tabs>
                <w:tab w:val="left" w:pos="0"/>
              </w:tabs>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lang w:eastAsia="zh-CN"/>
              </w:rPr>
              <w:t>.6分</w:t>
            </w:r>
          </w:p>
          <w:p>
            <w:pPr>
              <w:keepNext w:val="0"/>
              <w:keepLines w:val="0"/>
              <w:pageBreakBefore w:val="0"/>
              <w:tabs>
                <w:tab w:val="left" w:pos="0"/>
              </w:tabs>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p>
          <w:p>
            <w:pPr>
              <w:keepNext w:val="0"/>
              <w:keepLines w:val="0"/>
              <w:pageBreakBefore w:val="0"/>
              <w:tabs>
                <w:tab w:val="left" w:pos="0"/>
              </w:tabs>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p>
          <w:p>
            <w:pPr>
              <w:keepNext w:val="0"/>
              <w:keepLines w:val="0"/>
              <w:pageBreakBefore w:val="0"/>
              <w:tabs>
                <w:tab w:val="left" w:pos="0"/>
              </w:tabs>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p>
          <w:p>
            <w:pPr>
              <w:keepNext w:val="0"/>
              <w:keepLines w:val="0"/>
              <w:pageBreakBefore w:val="0"/>
              <w:tabs>
                <w:tab w:val="left" w:pos="0"/>
              </w:tabs>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p>
          <w:p>
            <w:pPr>
              <w:keepNext w:val="0"/>
              <w:keepLines w:val="0"/>
              <w:pageBreakBefore w:val="0"/>
              <w:tabs>
                <w:tab w:val="left" w:pos="0"/>
              </w:tabs>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p>
          <w:p>
            <w:pPr>
              <w:keepNext w:val="0"/>
              <w:keepLines w:val="0"/>
              <w:pageBreakBefore w:val="0"/>
              <w:tabs>
                <w:tab w:val="left" w:pos="0"/>
              </w:tabs>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p>
          <w:p>
            <w:pPr>
              <w:keepNext w:val="0"/>
              <w:keepLines w:val="0"/>
              <w:pageBreakBefore w:val="0"/>
              <w:tabs>
                <w:tab w:val="left" w:pos="0"/>
              </w:tabs>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p>
          <w:p>
            <w:pPr>
              <w:keepNext w:val="0"/>
              <w:keepLines w:val="0"/>
              <w:pageBreakBefore w:val="0"/>
              <w:tabs>
                <w:tab w:val="left" w:pos="0"/>
              </w:tabs>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p>
          <w:p>
            <w:pPr>
              <w:keepNext w:val="0"/>
              <w:keepLines w:val="0"/>
              <w:pageBreakBefore w:val="0"/>
              <w:tabs>
                <w:tab w:val="left" w:pos="0"/>
              </w:tabs>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p>
        </w:tc>
        <w:tc>
          <w:tcPr>
            <w:tcW w:w="5935" w:type="dxa"/>
            <w:shd w:val="clear" w:color="auto" w:fill="auto"/>
            <w:vAlign w:val="center"/>
          </w:tcPr>
          <w:p>
            <w:pPr>
              <w:keepNext w:val="0"/>
              <w:keepLines w:val="0"/>
              <w:pageBreakBefore w:val="0"/>
              <w:tabs>
                <w:tab w:val="left" w:pos="0"/>
              </w:tabs>
              <w:kinsoku/>
              <w:wordWrap/>
              <w:overflowPunct/>
              <w:topLinePunct w:val="0"/>
              <w:autoSpaceDE/>
              <w:autoSpaceDN/>
              <w:bidi w:val="0"/>
              <w:spacing w:line="400" w:lineRule="exact"/>
              <w:ind w:firstLine="240" w:firstLineChars="1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一、预算编制业绩</w:t>
            </w: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lang w:eastAsia="zh-CN"/>
              </w:rPr>
              <w:t>分：报名单位提供赣州市范围内201</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年1月1日以来内完成过单项工程造价1000万元及以上的工程建设项目预算（或招标控制价）编制业绩，以签订造价咨询合同或包含预算编制内容的招标代理合同时间为准。每提供1个得3分、医院业务加0.2分，最多得</w:t>
            </w: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lang w:eastAsia="zh-CN"/>
              </w:rPr>
              <w:t>分</w:t>
            </w:r>
          </w:p>
          <w:p>
            <w:pPr>
              <w:keepNext w:val="0"/>
              <w:keepLines w:val="0"/>
              <w:pageBreakBefore w:val="0"/>
              <w:tabs>
                <w:tab w:val="left" w:pos="0"/>
              </w:tabs>
              <w:kinsoku/>
              <w:wordWrap/>
              <w:overflowPunct/>
              <w:topLinePunct w:val="0"/>
              <w:autoSpaceDE/>
              <w:autoSpaceDN/>
              <w:bidi w:val="0"/>
              <w:spacing w:line="400" w:lineRule="exact"/>
              <w:ind w:firstLine="241" w:firstLineChars="100"/>
              <w:textAlignment w:val="auto"/>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评审依据必须同时提供以下材料</w:t>
            </w:r>
            <w:r>
              <w:rPr>
                <w:rFonts w:hint="eastAsia" w:ascii="仿宋" w:hAnsi="仿宋" w:eastAsia="仿宋" w:cs="仿宋"/>
                <w:color w:val="auto"/>
                <w:sz w:val="24"/>
                <w:szCs w:val="24"/>
                <w:lang w:eastAsia="zh-CN"/>
              </w:rPr>
              <w:t>：</w:t>
            </w:r>
          </w:p>
          <w:p>
            <w:pPr>
              <w:keepNext w:val="0"/>
              <w:keepLines w:val="0"/>
              <w:pageBreakBefore w:val="0"/>
              <w:tabs>
                <w:tab w:val="left" w:pos="0"/>
              </w:tabs>
              <w:kinsoku/>
              <w:wordWrap/>
              <w:overflowPunct/>
              <w:topLinePunct w:val="0"/>
              <w:autoSpaceDE/>
              <w:autoSpaceDN/>
              <w:bidi w:val="0"/>
              <w:spacing w:line="400" w:lineRule="exact"/>
              <w:ind w:firstLine="240" w:firstLineChars="1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1.造价咨询合同或包含预算编制内容的招标代理合同；</w:t>
            </w:r>
          </w:p>
          <w:p>
            <w:pPr>
              <w:keepNext w:val="0"/>
              <w:keepLines w:val="0"/>
              <w:pageBreakBefore w:val="0"/>
              <w:tabs>
                <w:tab w:val="left" w:pos="0"/>
              </w:tabs>
              <w:kinsoku/>
              <w:wordWrap/>
              <w:overflowPunct/>
              <w:topLinePunct w:val="0"/>
              <w:autoSpaceDE/>
              <w:autoSpaceDN/>
              <w:bidi w:val="0"/>
              <w:spacing w:line="400" w:lineRule="exact"/>
              <w:ind w:firstLine="240" w:firstLineChars="1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2.预算（或招标控制价）的审核报告（或批复）或加盖业主公章的预算书封面；业绩文件若不能反映时间和金额，需提供项目委托人盖章的能证明时间和金额的材料。</w:t>
            </w:r>
          </w:p>
          <w:p>
            <w:pPr>
              <w:keepNext w:val="0"/>
              <w:keepLines w:val="0"/>
              <w:pageBreakBefore w:val="0"/>
              <w:tabs>
                <w:tab w:val="left" w:pos="0"/>
              </w:tabs>
              <w:kinsoku/>
              <w:wordWrap/>
              <w:overflowPunct/>
              <w:topLinePunct w:val="0"/>
              <w:autoSpaceDE/>
              <w:autoSpaceDN/>
              <w:bidi w:val="0"/>
              <w:spacing w:line="400" w:lineRule="exact"/>
              <w:ind w:firstLine="240" w:firstLineChars="1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以上所有证明材料均提供复印件并加盖公章</w:t>
            </w:r>
          </w:p>
          <w:p>
            <w:pPr>
              <w:keepNext w:val="0"/>
              <w:keepLines w:val="0"/>
              <w:pageBreakBefore w:val="0"/>
              <w:tabs>
                <w:tab w:val="left" w:pos="0"/>
              </w:tabs>
              <w:kinsoku/>
              <w:wordWrap/>
              <w:overflowPunct/>
              <w:topLinePunct w:val="0"/>
              <w:autoSpaceDE/>
              <w:autoSpaceDN/>
              <w:bidi w:val="0"/>
              <w:spacing w:line="400" w:lineRule="exact"/>
              <w:ind w:firstLine="240" w:firstLineChars="1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二、招标代理业绩</w:t>
            </w:r>
            <w:r>
              <w:rPr>
                <w:rFonts w:hint="eastAsia" w:ascii="仿宋" w:hAnsi="仿宋" w:eastAsia="仿宋" w:cs="仿宋"/>
                <w:color w:val="auto"/>
                <w:sz w:val="24"/>
                <w:szCs w:val="24"/>
                <w:lang w:val="en-US" w:eastAsia="zh-CN"/>
              </w:rPr>
              <w:t>9.6</w:t>
            </w:r>
            <w:r>
              <w:rPr>
                <w:rFonts w:hint="eastAsia" w:ascii="仿宋" w:hAnsi="仿宋" w:eastAsia="仿宋" w:cs="仿宋"/>
                <w:color w:val="auto"/>
                <w:sz w:val="24"/>
                <w:szCs w:val="24"/>
                <w:lang w:eastAsia="zh-CN"/>
              </w:rPr>
              <w:t>分：</w:t>
            </w:r>
          </w:p>
          <w:p>
            <w:pPr>
              <w:keepNext w:val="0"/>
              <w:keepLines w:val="0"/>
              <w:pageBreakBefore w:val="0"/>
              <w:tabs>
                <w:tab w:val="left" w:pos="0"/>
              </w:tabs>
              <w:kinsoku/>
              <w:wordWrap/>
              <w:overflowPunct/>
              <w:topLinePunct w:val="0"/>
              <w:autoSpaceDE/>
              <w:autoSpaceDN/>
              <w:bidi w:val="0"/>
              <w:spacing w:line="400" w:lineRule="exact"/>
              <w:ind w:firstLine="240" w:firstLineChars="1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报名单位提供赣州市范围内201</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年1月1日以来完成过单个工程金额在</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000万元（含）以上的工程建设项目招标工作，每提供1个得</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分、医院业务加0.2分，最多得</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.6分。</w:t>
            </w:r>
          </w:p>
          <w:p>
            <w:pPr>
              <w:keepNext w:val="0"/>
              <w:keepLines w:val="0"/>
              <w:pageBreakBefore w:val="0"/>
              <w:tabs>
                <w:tab w:val="left" w:pos="0"/>
              </w:tabs>
              <w:kinsoku/>
              <w:wordWrap/>
              <w:overflowPunct/>
              <w:topLinePunct w:val="0"/>
              <w:autoSpaceDE/>
              <w:autoSpaceDN/>
              <w:bidi w:val="0"/>
              <w:spacing w:line="400" w:lineRule="exact"/>
              <w:ind w:firstLine="241" w:firstLineChars="100"/>
              <w:textAlignment w:val="auto"/>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评审依据：</w:t>
            </w:r>
            <w:r>
              <w:rPr>
                <w:rFonts w:hint="eastAsia" w:ascii="仿宋" w:hAnsi="仿宋" w:eastAsia="仿宋" w:cs="仿宋"/>
                <w:color w:val="auto"/>
                <w:sz w:val="24"/>
                <w:szCs w:val="24"/>
                <w:lang w:eastAsia="zh-CN"/>
              </w:rPr>
              <w:t>报名单位须提供招标代理合同、网上招标公告及中标公示及中标通知书复印件业绩文件若不能反映时间和金额，需提供项目委托人盖章的能证明时间和金额的材料。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1105" w:type="dxa"/>
            <w:vMerge w:val="continue"/>
            <w:shd w:val="clear" w:color="auto" w:fill="auto"/>
            <w:vAlign w:val="center"/>
          </w:tcPr>
          <w:p>
            <w:pPr>
              <w:keepNext w:val="0"/>
              <w:keepLines w:val="0"/>
              <w:pageBreakBefore w:val="0"/>
              <w:tabs>
                <w:tab w:val="left" w:pos="0"/>
              </w:tabs>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p>
        </w:tc>
        <w:tc>
          <w:tcPr>
            <w:tcW w:w="1215" w:type="dxa"/>
            <w:shd w:val="clear" w:color="auto" w:fill="auto"/>
            <w:vAlign w:val="center"/>
          </w:tcPr>
          <w:p>
            <w:pPr>
              <w:keepNext w:val="0"/>
              <w:keepLines w:val="0"/>
              <w:pageBreakBefore w:val="0"/>
              <w:tabs>
                <w:tab w:val="left" w:pos="0"/>
              </w:tabs>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专业技术人员</w:t>
            </w:r>
          </w:p>
        </w:tc>
        <w:tc>
          <w:tcPr>
            <w:tcW w:w="1035" w:type="dxa"/>
            <w:shd w:val="clear" w:color="auto" w:fill="auto"/>
            <w:vAlign w:val="center"/>
          </w:tcPr>
          <w:p>
            <w:pPr>
              <w:keepNext w:val="0"/>
              <w:keepLines w:val="0"/>
              <w:pageBreakBefore w:val="0"/>
              <w:tabs>
                <w:tab w:val="left" w:pos="0"/>
              </w:tabs>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分</w:t>
            </w:r>
          </w:p>
        </w:tc>
        <w:tc>
          <w:tcPr>
            <w:tcW w:w="5935" w:type="dxa"/>
            <w:shd w:val="clear" w:color="auto" w:fill="auto"/>
            <w:vAlign w:val="center"/>
          </w:tcPr>
          <w:p>
            <w:pPr>
              <w:keepNext w:val="0"/>
              <w:keepLines w:val="0"/>
              <w:pageBreakBefore w:val="0"/>
              <w:tabs>
                <w:tab w:val="left" w:pos="0"/>
              </w:tabs>
              <w:kinsoku/>
              <w:wordWrap/>
              <w:overflowPunct/>
              <w:topLinePunct w:val="0"/>
              <w:autoSpaceDE/>
              <w:autoSpaceDN/>
              <w:bidi w:val="0"/>
              <w:spacing w:line="400" w:lineRule="exact"/>
              <w:ind w:firstLine="240" w:firstLineChars="1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报名单位为本单位项目提供服务的人员中，具有有效期内的工程造价员证的，每提供一个得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分；满分1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分。</w:t>
            </w:r>
          </w:p>
          <w:p>
            <w:pPr>
              <w:keepNext w:val="0"/>
              <w:keepLines w:val="0"/>
              <w:pageBreakBefore w:val="0"/>
              <w:tabs>
                <w:tab w:val="left" w:pos="0"/>
              </w:tabs>
              <w:kinsoku/>
              <w:wordWrap/>
              <w:overflowPunct/>
              <w:topLinePunct w:val="0"/>
              <w:autoSpaceDE/>
              <w:autoSpaceDN/>
              <w:bidi w:val="0"/>
              <w:spacing w:line="400" w:lineRule="exact"/>
              <w:ind w:firstLine="240" w:firstLineChars="1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报名单位为本单位项目提供服务的人员中，具有有工程造价专业毕业证的，每提供一个得</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分；满分</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分。</w:t>
            </w:r>
          </w:p>
          <w:p>
            <w:pPr>
              <w:keepNext w:val="0"/>
              <w:keepLines w:val="0"/>
              <w:pageBreakBefore w:val="0"/>
              <w:tabs>
                <w:tab w:val="left" w:pos="0"/>
              </w:tabs>
              <w:kinsoku/>
              <w:wordWrap/>
              <w:overflowPunct/>
              <w:topLinePunct w:val="0"/>
              <w:autoSpaceDE/>
              <w:autoSpaceDN/>
              <w:bidi w:val="0"/>
              <w:spacing w:line="400" w:lineRule="exact"/>
              <w:ind w:firstLine="241" w:firstLineChars="100"/>
              <w:textAlignment w:val="auto"/>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评审依据：</w:t>
            </w:r>
            <w:r>
              <w:rPr>
                <w:rFonts w:hint="eastAsia" w:ascii="仿宋" w:hAnsi="仿宋" w:eastAsia="仿宋" w:cs="仿宋"/>
                <w:color w:val="auto"/>
                <w:sz w:val="24"/>
                <w:szCs w:val="24"/>
                <w:lang w:eastAsia="zh-CN"/>
              </w:rPr>
              <w:t>报名文件中须提供上述人员工程造价员证复印件，毕业证书复印件，以上所有证明材料均提供复印件并加盖公章，否则不予计分。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1105" w:type="dxa"/>
            <w:shd w:val="clear" w:color="auto" w:fill="auto"/>
            <w:vAlign w:val="center"/>
          </w:tcPr>
          <w:p>
            <w:pPr>
              <w:keepNext w:val="0"/>
              <w:keepLines w:val="0"/>
              <w:pageBreakBefore w:val="0"/>
              <w:tabs>
                <w:tab w:val="left" w:pos="0"/>
              </w:tabs>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服务方案及措施（</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lang w:eastAsia="zh-CN"/>
              </w:rPr>
              <w:t>分）</w:t>
            </w:r>
          </w:p>
        </w:tc>
        <w:tc>
          <w:tcPr>
            <w:tcW w:w="1215" w:type="dxa"/>
            <w:shd w:val="clear" w:color="auto" w:fill="auto"/>
            <w:vAlign w:val="center"/>
          </w:tcPr>
          <w:p>
            <w:pPr>
              <w:keepNext w:val="0"/>
              <w:keepLines w:val="0"/>
              <w:pageBreakBefore w:val="0"/>
              <w:tabs>
                <w:tab w:val="left" w:pos="0"/>
              </w:tabs>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服务方案及措施</w:t>
            </w:r>
          </w:p>
        </w:tc>
        <w:tc>
          <w:tcPr>
            <w:tcW w:w="1035" w:type="dxa"/>
            <w:shd w:val="clear" w:color="auto" w:fill="auto"/>
            <w:vAlign w:val="center"/>
          </w:tcPr>
          <w:p>
            <w:pPr>
              <w:keepNext w:val="0"/>
              <w:keepLines w:val="0"/>
              <w:pageBreakBefore w:val="0"/>
              <w:tabs>
                <w:tab w:val="left" w:pos="0"/>
              </w:tabs>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lang w:eastAsia="zh-CN"/>
              </w:rPr>
              <w:t>分</w:t>
            </w:r>
          </w:p>
        </w:tc>
        <w:tc>
          <w:tcPr>
            <w:tcW w:w="5935" w:type="dxa"/>
            <w:shd w:val="clear" w:color="auto" w:fill="auto"/>
            <w:vAlign w:val="center"/>
          </w:tcPr>
          <w:p>
            <w:pPr>
              <w:keepNext w:val="0"/>
              <w:keepLines w:val="0"/>
              <w:pageBreakBefore w:val="0"/>
              <w:tabs>
                <w:tab w:val="left" w:pos="0"/>
              </w:tabs>
              <w:kinsoku/>
              <w:wordWrap/>
              <w:overflowPunct/>
              <w:topLinePunct w:val="0"/>
              <w:autoSpaceDE/>
              <w:autoSpaceDN/>
              <w:bidi w:val="0"/>
              <w:spacing w:line="400" w:lineRule="exact"/>
              <w:ind w:firstLine="240" w:firstLineChars="1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对招标代理工作流程及计划安排进行对比打分，最高得5分，相邻递减1分，最低得1分，不提供不得分。</w:t>
            </w:r>
          </w:p>
          <w:p>
            <w:pPr>
              <w:keepNext w:val="0"/>
              <w:keepLines w:val="0"/>
              <w:pageBreakBefore w:val="0"/>
              <w:tabs>
                <w:tab w:val="left" w:pos="0"/>
              </w:tabs>
              <w:kinsoku/>
              <w:wordWrap/>
              <w:overflowPunct/>
              <w:topLinePunct w:val="0"/>
              <w:autoSpaceDE/>
              <w:autoSpaceDN/>
              <w:bidi w:val="0"/>
              <w:spacing w:line="400" w:lineRule="exact"/>
              <w:ind w:firstLine="240" w:firstLineChars="1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对招标代理服务质量保证措施进行对比打分，最高得5分，相邻递减1分，最低得1分，不提供不得分。</w:t>
            </w:r>
          </w:p>
          <w:p>
            <w:pPr>
              <w:keepNext w:val="0"/>
              <w:keepLines w:val="0"/>
              <w:pageBreakBefore w:val="0"/>
              <w:tabs>
                <w:tab w:val="left" w:pos="0"/>
              </w:tabs>
              <w:kinsoku/>
              <w:wordWrap/>
              <w:overflowPunct/>
              <w:topLinePunct w:val="0"/>
              <w:autoSpaceDE/>
              <w:autoSpaceDN/>
              <w:bidi w:val="0"/>
              <w:spacing w:line="400" w:lineRule="exact"/>
              <w:ind w:firstLine="240" w:firstLineChars="1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对招标代理职业道德、廉洁从业措施进行对比打分，最高得5分，相邻递减1分，最低得1分，不提供不得分。</w:t>
            </w:r>
          </w:p>
        </w:tc>
      </w:tr>
    </w:tbl>
    <w:p>
      <w:pPr>
        <w:pStyle w:val="7"/>
        <w:widowControl/>
        <w:adjustRightInd w:val="0"/>
        <w:spacing w:beforeAutospacing="0" w:afterAutospacing="0" w:line="500" w:lineRule="exact"/>
        <w:rPr>
          <w:rFonts w:ascii="仿宋" w:hAnsi="仿宋" w:eastAsia="仿宋" w:cs="仿宋"/>
          <w:b/>
          <w:color w:val="auto"/>
          <w:sz w:val="31"/>
          <w:szCs w:val="31"/>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922"/>
    <w:rsid w:val="0000577B"/>
    <w:rsid w:val="00013E39"/>
    <w:rsid w:val="0001595C"/>
    <w:rsid w:val="00024A2C"/>
    <w:rsid w:val="00025BC0"/>
    <w:rsid w:val="00044BE5"/>
    <w:rsid w:val="00046499"/>
    <w:rsid w:val="0005571C"/>
    <w:rsid w:val="0005669C"/>
    <w:rsid w:val="00077CE0"/>
    <w:rsid w:val="000929BD"/>
    <w:rsid w:val="0009498F"/>
    <w:rsid w:val="000A134F"/>
    <w:rsid w:val="000A163C"/>
    <w:rsid w:val="000A38EC"/>
    <w:rsid w:val="000C200A"/>
    <w:rsid w:val="000C4931"/>
    <w:rsid w:val="001137C7"/>
    <w:rsid w:val="001321D2"/>
    <w:rsid w:val="001350FD"/>
    <w:rsid w:val="001374A8"/>
    <w:rsid w:val="0014067C"/>
    <w:rsid w:val="001418FC"/>
    <w:rsid w:val="00153064"/>
    <w:rsid w:val="00163AC6"/>
    <w:rsid w:val="0019203B"/>
    <w:rsid w:val="001923FC"/>
    <w:rsid w:val="001A125F"/>
    <w:rsid w:val="001B09C6"/>
    <w:rsid w:val="001B26E8"/>
    <w:rsid w:val="001C140B"/>
    <w:rsid w:val="001E0DEA"/>
    <w:rsid w:val="001E62B8"/>
    <w:rsid w:val="001E7CC4"/>
    <w:rsid w:val="00216A48"/>
    <w:rsid w:val="00216BA1"/>
    <w:rsid w:val="00216C49"/>
    <w:rsid w:val="002300A8"/>
    <w:rsid w:val="002550BB"/>
    <w:rsid w:val="002725FB"/>
    <w:rsid w:val="00273C2F"/>
    <w:rsid w:val="00277F00"/>
    <w:rsid w:val="00281E21"/>
    <w:rsid w:val="00287035"/>
    <w:rsid w:val="00291136"/>
    <w:rsid w:val="002A5139"/>
    <w:rsid w:val="002A6E71"/>
    <w:rsid w:val="002A7B37"/>
    <w:rsid w:val="002C4E20"/>
    <w:rsid w:val="002D1229"/>
    <w:rsid w:val="002D2850"/>
    <w:rsid w:val="002D2FA6"/>
    <w:rsid w:val="002F3BA5"/>
    <w:rsid w:val="003064C3"/>
    <w:rsid w:val="00307868"/>
    <w:rsid w:val="0031136F"/>
    <w:rsid w:val="0031303C"/>
    <w:rsid w:val="0032022B"/>
    <w:rsid w:val="003211AB"/>
    <w:rsid w:val="003214C7"/>
    <w:rsid w:val="00322459"/>
    <w:rsid w:val="0032275C"/>
    <w:rsid w:val="003446D0"/>
    <w:rsid w:val="003460BC"/>
    <w:rsid w:val="00350340"/>
    <w:rsid w:val="00357BA2"/>
    <w:rsid w:val="003A1594"/>
    <w:rsid w:val="003A22A3"/>
    <w:rsid w:val="003B77A7"/>
    <w:rsid w:val="003C0201"/>
    <w:rsid w:val="003D25E3"/>
    <w:rsid w:val="003D47E4"/>
    <w:rsid w:val="003D520F"/>
    <w:rsid w:val="003D73CC"/>
    <w:rsid w:val="0040714E"/>
    <w:rsid w:val="00421768"/>
    <w:rsid w:val="00422749"/>
    <w:rsid w:val="00442358"/>
    <w:rsid w:val="00445A9D"/>
    <w:rsid w:val="00464C99"/>
    <w:rsid w:val="00477BF3"/>
    <w:rsid w:val="0048476A"/>
    <w:rsid w:val="00493EE9"/>
    <w:rsid w:val="004B0B5B"/>
    <w:rsid w:val="004C00EA"/>
    <w:rsid w:val="004D5FA7"/>
    <w:rsid w:val="004D72E4"/>
    <w:rsid w:val="004F026B"/>
    <w:rsid w:val="004F64B6"/>
    <w:rsid w:val="0050245C"/>
    <w:rsid w:val="00503065"/>
    <w:rsid w:val="00506486"/>
    <w:rsid w:val="00511AA6"/>
    <w:rsid w:val="005136B4"/>
    <w:rsid w:val="00520F7B"/>
    <w:rsid w:val="005369E0"/>
    <w:rsid w:val="00537F76"/>
    <w:rsid w:val="00551DA1"/>
    <w:rsid w:val="00551F15"/>
    <w:rsid w:val="00553EC8"/>
    <w:rsid w:val="005545C0"/>
    <w:rsid w:val="005A08F5"/>
    <w:rsid w:val="005A440F"/>
    <w:rsid w:val="005B1C37"/>
    <w:rsid w:val="005C3EE6"/>
    <w:rsid w:val="005D76A2"/>
    <w:rsid w:val="005E7648"/>
    <w:rsid w:val="005F5F7F"/>
    <w:rsid w:val="00616E09"/>
    <w:rsid w:val="00635D47"/>
    <w:rsid w:val="00642F15"/>
    <w:rsid w:val="0064469D"/>
    <w:rsid w:val="00647433"/>
    <w:rsid w:val="00651685"/>
    <w:rsid w:val="00660E5E"/>
    <w:rsid w:val="00666171"/>
    <w:rsid w:val="00667C95"/>
    <w:rsid w:val="00676BA5"/>
    <w:rsid w:val="0068295A"/>
    <w:rsid w:val="00691E35"/>
    <w:rsid w:val="00697623"/>
    <w:rsid w:val="006A6099"/>
    <w:rsid w:val="006B7ADC"/>
    <w:rsid w:val="006C0362"/>
    <w:rsid w:val="006C0496"/>
    <w:rsid w:val="006C0B0F"/>
    <w:rsid w:val="006C2F71"/>
    <w:rsid w:val="006D3E26"/>
    <w:rsid w:val="006E4430"/>
    <w:rsid w:val="006F0980"/>
    <w:rsid w:val="00710301"/>
    <w:rsid w:val="00713C77"/>
    <w:rsid w:val="00717B01"/>
    <w:rsid w:val="00732EBD"/>
    <w:rsid w:val="00743175"/>
    <w:rsid w:val="007461D9"/>
    <w:rsid w:val="00751300"/>
    <w:rsid w:val="00752C0F"/>
    <w:rsid w:val="007637F8"/>
    <w:rsid w:val="00777B0C"/>
    <w:rsid w:val="00783DA7"/>
    <w:rsid w:val="00785501"/>
    <w:rsid w:val="00791140"/>
    <w:rsid w:val="007A3665"/>
    <w:rsid w:val="007C0FFD"/>
    <w:rsid w:val="007C5AE8"/>
    <w:rsid w:val="007D2787"/>
    <w:rsid w:val="007D4BA4"/>
    <w:rsid w:val="007E0D41"/>
    <w:rsid w:val="00810E4C"/>
    <w:rsid w:val="008349BD"/>
    <w:rsid w:val="008350A6"/>
    <w:rsid w:val="008403CA"/>
    <w:rsid w:val="00864708"/>
    <w:rsid w:val="00865EB9"/>
    <w:rsid w:val="00872623"/>
    <w:rsid w:val="00876DD0"/>
    <w:rsid w:val="00881972"/>
    <w:rsid w:val="008C7066"/>
    <w:rsid w:val="00922C23"/>
    <w:rsid w:val="00927FAD"/>
    <w:rsid w:val="00931377"/>
    <w:rsid w:val="009314A3"/>
    <w:rsid w:val="0094108B"/>
    <w:rsid w:val="009411DA"/>
    <w:rsid w:val="00945138"/>
    <w:rsid w:val="009470FA"/>
    <w:rsid w:val="00953522"/>
    <w:rsid w:val="00957595"/>
    <w:rsid w:val="00993F05"/>
    <w:rsid w:val="009A20CE"/>
    <w:rsid w:val="009B2DFB"/>
    <w:rsid w:val="009C2012"/>
    <w:rsid w:val="009C4A0C"/>
    <w:rsid w:val="009D32FE"/>
    <w:rsid w:val="009D77AD"/>
    <w:rsid w:val="009E5CA6"/>
    <w:rsid w:val="00A129FD"/>
    <w:rsid w:val="00A13BD6"/>
    <w:rsid w:val="00A1460C"/>
    <w:rsid w:val="00A22E29"/>
    <w:rsid w:val="00A22FC5"/>
    <w:rsid w:val="00A45593"/>
    <w:rsid w:val="00A5442B"/>
    <w:rsid w:val="00A64C4C"/>
    <w:rsid w:val="00A65BAC"/>
    <w:rsid w:val="00A65FDF"/>
    <w:rsid w:val="00A66B5B"/>
    <w:rsid w:val="00A82A4E"/>
    <w:rsid w:val="00A8552C"/>
    <w:rsid w:val="00A900A6"/>
    <w:rsid w:val="00A90D91"/>
    <w:rsid w:val="00AA24F8"/>
    <w:rsid w:val="00AA3C04"/>
    <w:rsid w:val="00AA4580"/>
    <w:rsid w:val="00AA4DBC"/>
    <w:rsid w:val="00AA6735"/>
    <w:rsid w:val="00AA7586"/>
    <w:rsid w:val="00AB0D9D"/>
    <w:rsid w:val="00AB145E"/>
    <w:rsid w:val="00AD6406"/>
    <w:rsid w:val="00AE420C"/>
    <w:rsid w:val="00AE762D"/>
    <w:rsid w:val="00AE7973"/>
    <w:rsid w:val="00AF522B"/>
    <w:rsid w:val="00B00E14"/>
    <w:rsid w:val="00B028DE"/>
    <w:rsid w:val="00B14B13"/>
    <w:rsid w:val="00B2762F"/>
    <w:rsid w:val="00B35EEA"/>
    <w:rsid w:val="00B40FDE"/>
    <w:rsid w:val="00B4524D"/>
    <w:rsid w:val="00B52509"/>
    <w:rsid w:val="00B658C3"/>
    <w:rsid w:val="00B66D3F"/>
    <w:rsid w:val="00B9139C"/>
    <w:rsid w:val="00B971B9"/>
    <w:rsid w:val="00BA3476"/>
    <w:rsid w:val="00BB17EC"/>
    <w:rsid w:val="00BC2CCF"/>
    <w:rsid w:val="00BC329A"/>
    <w:rsid w:val="00BD2356"/>
    <w:rsid w:val="00C0323D"/>
    <w:rsid w:val="00C043F6"/>
    <w:rsid w:val="00C04DF8"/>
    <w:rsid w:val="00C0692F"/>
    <w:rsid w:val="00C23859"/>
    <w:rsid w:val="00C2757E"/>
    <w:rsid w:val="00C313A1"/>
    <w:rsid w:val="00C31675"/>
    <w:rsid w:val="00C34FE4"/>
    <w:rsid w:val="00C57E4E"/>
    <w:rsid w:val="00C623F7"/>
    <w:rsid w:val="00C63C79"/>
    <w:rsid w:val="00C75AA4"/>
    <w:rsid w:val="00C77AA7"/>
    <w:rsid w:val="00CA143D"/>
    <w:rsid w:val="00CC1F10"/>
    <w:rsid w:val="00CC514C"/>
    <w:rsid w:val="00CE64F1"/>
    <w:rsid w:val="00D21A51"/>
    <w:rsid w:val="00D2313D"/>
    <w:rsid w:val="00D303B9"/>
    <w:rsid w:val="00D320D7"/>
    <w:rsid w:val="00D46851"/>
    <w:rsid w:val="00D600E5"/>
    <w:rsid w:val="00D65584"/>
    <w:rsid w:val="00DB0E51"/>
    <w:rsid w:val="00DD3E65"/>
    <w:rsid w:val="00DD7222"/>
    <w:rsid w:val="00DE1B98"/>
    <w:rsid w:val="00DE29FF"/>
    <w:rsid w:val="00DE2ABC"/>
    <w:rsid w:val="00E06C96"/>
    <w:rsid w:val="00E16BF9"/>
    <w:rsid w:val="00E35728"/>
    <w:rsid w:val="00E45009"/>
    <w:rsid w:val="00E469FB"/>
    <w:rsid w:val="00E801B2"/>
    <w:rsid w:val="00E80968"/>
    <w:rsid w:val="00E848C2"/>
    <w:rsid w:val="00E86FDD"/>
    <w:rsid w:val="00E93799"/>
    <w:rsid w:val="00EB5FCA"/>
    <w:rsid w:val="00EB6582"/>
    <w:rsid w:val="00EC5BA8"/>
    <w:rsid w:val="00F027D5"/>
    <w:rsid w:val="00F04575"/>
    <w:rsid w:val="00F1350B"/>
    <w:rsid w:val="00F240ED"/>
    <w:rsid w:val="00F259A5"/>
    <w:rsid w:val="00F334A5"/>
    <w:rsid w:val="00F344C7"/>
    <w:rsid w:val="00F34510"/>
    <w:rsid w:val="00F37EE7"/>
    <w:rsid w:val="00F437D3"/>
    <w:rsid w:val="00F612DC"/>
    <w:rsid w:val="00F67DFF"/>
    <w:rsid w:val="00F73266"/>
    <w:rsid w:val="00F80AD3"/>
    <w:rsid w:val="00F976CE"/>
    <w:rsid w:val="00FA5A2E"/>
    <w:rsid w:val="00FA7601"/>
    <w:rsid w:val="00FB32EC"/>
    <w:rsid w:val="00FD3AF7"/>
    <w:rsid w:val="00FF103A"/>
    <w:rsid w:val="00FF4922"/>
    <w:rsid w:val="01B8711C"/>
    <w:rsid w:val="02C57301"/>
    <w:rsid w:val="03014E8D"/>
    <w:rsid w:val="037150E4"/>
    <w:rsid w:val="039B27B3"/>
    <w:rsid w:val="048C0673"/>
    <w:rsid w:val="06913D7D"/>
    <w:rsid w:val="070F3BEB"/>
    <w:rsid w:val="0760228A"/>
    <w:rsid w:val="0901046B"/>
    <w:rsid w:val="0B2F67D1"/>
    <w:rsid w:val="0C2C29E3"/>
    <w:rsid w:val="0D58017F"/>
    <w:rsid w:val="0E3A7EEB"/>
    <w:rsid w:val="0EC35E90"/>
    <w:rsid w:val="0EEB228D"/>
    <w:rsid w:val="0F3524BE"/>
    <w:rsid w:val="0FD06866"/>
    <w:rsid w:val="0FFF1A7B"/>
    <w:rsid w:val="10373C55"/>
    <w:rsid w:val="10817E15"/>
    <w:rsid w:val="10E17D52"/>
    <w:rsid w:val="10E264F4"/>
    <w:rsid w:val="10FE75BD"/>
    <w:rsid w:val="116263A4"/>
    <w:rsid w:val="11B72EEE"/>
    <w:rsid w:val="124949EE"/>
    <w:rsid w:val="12501CFA"/>
    <w:rsid w:val="129A0C20"/>
    <w:rsid w:val="131A46E1"/>
    <w:rsid w:val="154932AA"/>
    <w:rsid w:val="16495880"/>
    <w:rsid w:val="16561C0A"/>
    <w:rsid w:val="17244513"/>
    <w:rsid w:val="1756440C"/>
    <w:rsid w:val="17EA4AC4"/>
    <w:rsid w:val="181167A2"/>
    <w:rsid w:val="18502A38"/>
    <w:rsid w:val="193758B6"/>
    <w:rsid w:val="19D8219E"/>
    <w:rsid w:val="1A095178"/>
    <w:rsid w:val="1A925282"/>
    <w:rsid w:val="1AB4372D"/>
    <w:rsid w:val="1BE240E8"/>
    <w:rsid w:val="1C325D26"/>
    <w:rsid w:val="1CFB26FF"/>
    <w:rsid w:val="1DAF45E3"/>
    <w:rsid w:val="20C3020B"/>
    <w:rsid w:val="20FB77AC"/>
    <w:rsid w:val="212D68C4"/>
    <w:rsid w:val="213E7C64"/>
    <w:rsid w:val="232C7A6D"/>
    <w:rsid w:val="235F3D85"/>
    <w:rsid w:val="236805C2"/>
    <w:rsid w:val="24830518"/>
    <w:rsid w:val="25F10B28"/>
    <w:rsid w:val="261A55C1"/>
    <w:rsid w:val="26536532"/>
    <w:rsid w:val="26D53B01"/>
    <w:rsid w:val="280C7AD4"/>
    <w:rsid w:val="28F027FF"/>
    <w:rsid w:val="29D928D1"/>
    <w:rsid w:val="2A992EA7"/>
    <w:rsid w:val="2D6D7B36"/>
    <w:rsid w:val="2D8B6EE5"/>
    <w:rsid w:val="2E59735D"/>
    <w:rsid w:val="2ED70F2C"/>
    <w:rsid w:val="2F773F97"/>
    <w:rsid w:val="311E53C6"/>
    <w:rsid w:val="31D90140"/>
    <w:rsid w:val="33467BC7"/>
    <w:rsid w:val="33E502E6"/>
    <w:rsid w:val="33FF694E"/>
    <w:rsid w:val="34481D79"/>
    <w:rsid w:val="346634D4"/>
    <w:rsid w:val="34A122E6"/>
    <w:rsid w:val="34BE142B"/>
    <w:rsid w:val="37264332"/>
    <w:rsid w:val="381A7645"/>
    <w:rsid w:val="38DB3610"/>
    <w:rsid w:val="39D247D9"/>
    <w:rsid w:val="3A116DFD"/>
    <w:rsid w:val="3AA31C2F"/>
    <w:rsid w:val="3BBC6C47"/>
    <w:rsid w:val="3BDD06DF"/>
    <w:rsid w:val="3CDB1EA8"/>
    <w:rsid w:val="3E304DD7"/>
    <w:rsid w:val="3EA46B18"/>
    <w:rsid w:val="3F3464D2"/>
    <w:rsid w:val="3F59533D"/>
    <w:rsid w:val="3F795A88"/>
    <w:rsid w:val="41697331"/>
    <w:rsid w:val="416F6303"/>
    <w:rsid w:val="41F51169"/>
    <w:rsid w:val="42402D77"/>
    <w:rsid w:val="42EF1AC5"/>
    <w:rsid w:val="431F6113"/>
    <w:rsid w:val="434078F0"/>
    <w:rsid w:val="444073AC"/>
    <w:rsid w:val="45265CAC"/>
    <w:rsid w:val="45F8467B"/>
    <w:rsid w:val="45FF41E0"/>
    <w:rsid w:val="46383E74"/>
    <w:rsid w:val="46DC3FFA"/>
    <w:rsid w:val="47531E9E"/>
    <w:rsid w:val="478F59C0"/>
    <w:rsid w:val="48C24696"/>
    <w:rsid w:val="49B476A5"/>
    <w:rsid w:val="4B4D6412"/>
    <w:rsid w:val="4B5A77B1"/>
    <w:rsid w:val="4BA834B0"/>
    <w:rsid w:val="4BDE06D4"/>
    <w:rsid w:val="4CB1356C"/>
    <w:rsid w:val="4D775D6A"/>
    <w:rsid w:val="4F503F54"/>
    <w:rsid w:val="51C124D8"/>
    <w:rsid w:val="52211909"/>
    <w:rsid w:val="525D539A"/>
    <w:rsid w:val="53246EA0"/>
    <w:rsid w:val="539E7360"/>
    <w:rsid w:val="53A239FB"/>
    <w:rsid w:val="53A967EF"/>
    <w:rsid w:val="542834A1"/>
    <w:rsid w:val="54EB46DC"/>
    <w:rsid w:val="571A2C57"/>
    <w:rsid w:val="58512FBC"/>
    <w:rsid w:val="599B1F8B"/>
    <w:rsid w:val="59B709D9"/>
    <w:rsid w:val="59D6182E"/>
    <w:rsid w:val="5A247081"/>
    <w:rsid w:val="5A9E6B43"/>
    <w:rsid w:val="5B226DE1"/>
    <w:rsid w:val="5B2C3A08"/>
    <w:rsid w:val="5B3441D7"/>
    <w:rsid w:val="5DC85522"/>
    <w:rsid w:val="5E1B1C59"/>
    <w:rsid w:val="5EAA6853"/>
    <w:rsid w:val="5F082BFB"/>
    <w:rsid w:val="5F5A7AF2"/>
    <w:rsid w:val="5F5D2DC0"/>
    <w:rsid w:val="5F830533"/>
    <w:rsid w:val="60060D89"/>
    <w:rsid w:val="600F6AF9"/>
    <w:rsid w:val="60E76307"/>
    <w:rsid w:val="62196295"/>
    <w:rsid w:val="638721FC"/>
    <w:rsid w:val="651F7624"/>
    <w:rsid w:val="65404F72"/>
    <w:rsid w:val="654775D2"/>
    <w:rsid w:val="655A7D98"/>
    <w:rsid w:val="66A43866"/>
    <w:rsid w:val="673A7979"/>
    <w:rsid w:val="67895374"/>
    <w:rsid w:val="67A56846"/>
    <w:rsid w:val="67B37F15"/>
    <w:rsid w:val="69152FEE"/>
    <w:rsid w:val="69E36378"/>
    <w:rsid w:val="6A32103B"/>
    <w:rsid w:val="6A6253D4"/>
    <w:rsid w:val="6ABB3DA4"/>
    <w:rsid w:val="6ADA7A91"/>
    <w:rsid w:val="6AE61DC6"/>
    <w:rsid w:val="6B236570"/>
    <w:rsid w:val="6C2257EC"/>
    <w:rsid w:val="6C465D0D"/>
    <w:rsid w:val="6CAE358F"/>
    <w:rsid w:val="6D4D257A"/>
    <w:rsid w:val="6D4E297E"/>
    <w:rsid w:val="6D6D5174"/>
    <w:rsid w:val="6EA13765"/>
    <w:rsid w:val="6EA83188"/>
    <w:rsid w:val="6F8D5FDA"/>
    <w:rsid w:val="6FF336F1"/>
    <w:rsid w:val="701571C0"/>
    <w:rsid w:val="714419EB"/>
    <w:rsid w:val="742F1461"/>
    <w:rsid w:val="74314FEE"/>
    <w:rsid w:val="750A4AEE"/>
    <w:rsid w:val="75785009"/>
    <w:rsid w:val="763D1561"/>
    <w:rsid w:val="769E2150"/>
    <w:rsid w:val="76BE6B6D"/>
    <w:rsid w:val="778F25FA"/>
    <w:rsid w:val="77CB7B40"/>
    <w:rsid w:val="78612F43"/>
    <w:rsid w:val="78853AFA"/>
    <w:rsid w:val="79820574"/>
    <w:rsid w:val="7A7C18C3"/>
    <w:rsid w:val="7E4F3E13"/>
    <w:rsid w:val="7E8D39D7"/>
    <w:rsid w:val="7EDF7E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5"/>
    <w:qFormat/>
    <w:uiPriority w:val="0"/>
    <w:pPr>
      <w:keepNext/>
      <w:keepLines/>
      <w:spacing w:before="260" w:after="260" w:line="413" w:lineRule="auto"/>
      <w:ind w:firstLine="628"/>
      <w:jc w:val="center"/>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spacing w:after="120"/>
      <w:ind w:left="700" w:leftChars="700" w:right="700" w:rightChars="700"/>
    </w:pPr>
  </w:style>
  <w:style w:type="paragraph" w:styleId="4">
    <w:name w:val="Body Text Indent"/>
    <w:basedOn w:val="1"/>
    <w:qFormat/>
    <w:uiPriority w:val="0"/>
    <w:pPr>
      <w:spacing w:line="360" w:lineRule="auto"/>
      <w:ind w:firstLine="600"/>
    </w:pPr>
    <w:rPr>
      <w:sz w:val="24"/>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spacing w:beforeAutospacing="1" w:afterAutospacing="1"/>
      <w:jc w:val="left"/>
    </w:pPr>
    <w:rPr>
      <w:kern w:val="0"/>
      <w:sz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标题 2 Char"/>
    <w:basedOn w:val="10"/>
    <w:semiHidden/>
    <w:qFormat/>
    <w:uiPriority w:val="9"/>
    <w:rPr>
      <w:rFonts w:asciiTheme="majorHAnsi" w:hAnsiTheme="majorHAnsi" w:eastAsiaTheme="majorEastAsia" w:cstheme="majorBidi"/>
      <w:b/>
      <w:bCs/>
      <w:sz w:val="32"/>
      <w:szCs w:val="32"/>
    </w:rPr>
  </w:style>
  <w:style w:type="character" w:customStyle="1" w:styleId="15">
    <w:name w:val="标题 2 Char1"/>
    <w:basedOn w:val="10"/>
    <w:link w:val="3"/>
    <w:qFormat/>
    <w:uiPriority w:val="0"/>
    <w:rPr>
      <w:rFonts w:ascii="Arial" w:hAnsi="Arial" w:eastAsia="黑体" w:cs="Times New Roman"/>
      <w:b/>
      <w:bCs/>
      <w:sz w:val="32"/>
      <w:szCs w:val="32"/>
    </w:rPr>
  </w:style>
  <w:style w:type="paragraph" w:styleId="16">
    <w:name w:val="List Paragraph"/>
    <w:basedOn w:val="1"/>
    <w:qFormat/>
    <w:uiPriority w:val="34"/>
    <w:pPr>
      <w:ind w:firstLine="420" w:firstLineChars="200"/>
    </w:pPr>
  </w:style>
  <w:style w:type="character" w:customStyle="1" w:styleId="17">
    <w:name w:val="bsharetext"/>
    <w:basedOn w:val="10"/>
    <w:qFormat/>
    <w:uiPriority w:val="0"/>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7E07D2-E509-443D-BD37-1AFEC27A2031}">
  <ds:schemaRefs/>
</ds:datastoreItem>
</file>

<file path=docProps/app.xml><?xml version="1.0" encoding="utf-8"?>
<Properties xmlns="http://schemas.openxmlformats.org/officeDocument/2006/extended-properties" xmlns:vt="http://schemas.openxmlformats.org/officeDocument/2006/docPropsVTypes">
  <Template>Normal.dotm</Template>
  <Company>RMYY</Company>
  <Pages>11</Pages>
  <Words>827</Words>
  <Characters>4720</Characters>
  <Lines>39</Lines>
  <Paragraphs>11</Paragraphs>
  <TotalTime>4</TotalTime>
  <ScaleCrop>false</ScaleCrop>
  <LinksUpToDate>false</LinksUpToDate>
  <CharactersWithSpaces>5536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2018-09-30T04:44:00Z</dcterms:created>
  <dc:creator>PC</dc:creator>
  <cp:lastModifiedBy>曾伊琦:-)</cp:lastModifiedBy>
  <cp:lastPrinted>2019-12-24T02:28:00Z</cp:lastPrinted>
  <dcterms:modified xsi:type="dcterms:W3CDTF">2021-01-25T02:58:41Z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