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bookmarkStart w:id="0" w:name="_GoBack"/>
      <w:r>
        <w:rPr>
          <w:rFonts w:hint="eastAsia" w:ascii="宋体" w:hAnsi="宋体" w:eastAsia="宋体" w:cs="宋体"/>
          <w:b/>
          <w:bCs/>
          <w:sz w:val="32"/>
          <w:szCs w:val="32"/>
        </w:rPr>
        <w:t>赣州市妇幼保健院共享充电宝项目</w:t>
      </w:r>
    </w:p>
    <w:p>
      <w:pPr>
        <w:jc w:val="center"/>
        <w:rPr>
          <w:rFonts w:ascii="宋体" w:hAnsi="宋体" w:eastAsia="宋体" w:cs="宋体"/>
          <w:b/>
          <w:bCs/>
          <w:sz w:val="32"/>
          <w:szCs w:val="32"/>
        </w:rPr>
      </w:pPr>
      <w:r>
        <w:rPr>
          <w:rFonts w:hint="eastAsia" w:ascii="宋体" w:hAnsi="宋体" w:eastAsia="宋体" w:cs="宋体"/>
          <w:b/>
          <w:bCs/>
          <w:sz w:val="32"/>
          <w:szCs w:val="32"/>
        </w:rPr>
        <w:t>竞谈文件</w:t>
      </w:r>
    </w:p>
    <w:bookmarkEnd w:id="0"/>
    <w:p>
      <w:pPr>
        <w:numPr>
          <w:ilvl w:val="0"/>
          <w:numId w:val="1"/>
        </w:numPr>
        <w:tabs>
          <w:tab w:val="left" w:pos="900"/>
        </w:tabs>
        <w:ind w:firstLine="562" w:firstLineChars="200"/>
        <w:rPr>
          <w:rFonts w:ascii="宋体" w:hAnsi="宋体" w:eastAsia="宋体" w:cs="宋体"/>
          <w:b/>
          <w:bCs/>
          <w:sz w:val="28"/>
          <w:szCs w:val="28"/>
        </w:rPr>
      </w:pPr>
      <w:r>
        <w:rPr>
          <w:rFonts w:hint="eastAsia" w:ascii="宋体" w:hAnsi="宋体" w:eastAsia="宋体" w:cs="宋体"/>
          <w:b/>
          <w:bCs/>
          <w:sz w:val="28"/>
          <w:szCs w:val="28"/>
        </w:rPr>
        <w:t>基本原则</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坚持公开、公正和诚信的原则，禁止各种非法促销行为和不正当竞争，如有虚假应标者，本院有权没收其履约保证金，并取消该公司在我院的永久投标权。</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b/>
          <w:bCs/>
          <w:sz w:val="28"/>
          <w:szCs w:val="28"/>
        </w:rPr>
        <w:t>、投标单位的资质要求</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1.具有中华人民共和国工商行政管理机关颁发的有效企业营业执照和税务登记证。</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2.具有独立承担民事责任能力的法人或其他组织。</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3.品牌授权委托书（需法定代表人身份证明、法人代表人签署并加盖公章）。</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4.最近三年经营活动无重大违法记录的书面声明。</w:t>
      </w:r>
    </w:p>
    <w:p>
      <w:pPr>
        <w:tabs>
          <w:tab w:val="left" w:pos="900"/>
        </w:tabs>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三、资质审核</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开标时请投标代表携带好身份证原件，评委现场对投标文件资质材料及身份证原件进行审核。</w:t>
      </w:r>
    </w:p>
    <w:p>
      <w:pPr>
        <w:numPr>
          <w:ilvl w:val="0"/>
          <w:numId w:val="2"/>
        </w:numPr>
        <w:tabs>
          <w:tab w:val="left" w:pos="900"/>
        </w:tabs>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招标内容及要求</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3334"/>
        <w:gridCol w:w="1050"/>
        <w:gridCol w:w="10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pPr>
              <w:tabs>
                <w:tab w:val="left" w:pos="900"/>
              </w:tabs>
              <w:jc w:val="center"/>
              <w:rPr>
                <w:rFonts w:ascii="宋体" w:hAnsi="宋体" w:eastAsia="宋体" w:cs="宋体"/>
                <w:bCs/>
                <w:kern w:val="0"/>
                <w:sz w:val="28"/>
                <w:szCs w:val="28"/>
              </w:rPr>
            </w:pPr>
            <w:r>
              <w:rPr>
                <w:rFonts w:hint="eastAsia" w:ascii="宋体" w:hAnsi="宋体" w:eastAsia="宋体" w:cs="宋体"/>
                <w:sz w:val="24"/>
              </w:rPr>
              <w:t>品名</w:t>
            </w:r>
          </w:p>
        </w:tc>
        <w:tc>
          <w:tcPr>
            <w:tcW w:w="3334" w:type="dxa"/>
            <w:vAlign w:val="center"/>
          </w:tcPr>
          <w:p>
            <w:pPr>
              <w:tabs>
                <w:tab w:val="left" w:pos="900"/>
              </w:tabs>
              <w:jc w:val="center"/>
              <w:rPr>
                <w:rFonts w:ascii="宋体" w:hAnsi="宋体" w:eastAsia="宋体" w:cs="宋体"/>
                <w:b/>
                <w:kern w:val="0"/>
                <w:sz w:val="28"/>
                <w:szCs w:val="28"/>
              </w:rPr>
            </w:pPr>
            <w:r>
              <w:rPr>
                <w:rFonts w:hint="eastAsia" w:ascii="宋体" w:hAnsi="宋体" w:eastAsia="宋体" w:cs="宋体"/>
                <w:sz w:val="24"/>
              </w:rPr>
              <w:t>参数</w:t>
            </w:r>
          </w:p>
        </w:tc>
        <w:tc>
          <w:tcPr>
            <w:tcW w:w="1050" w:type="dxa"/>
            <w:vAlign w:val="center"/>
          </w:tcPr>
          <w:p>
            <w:pPr>
              <w:tabs>
                <w:tab w:val="left" w:pos="900"/>
              </w:tabs>
              <w:jc w:val="center"/>
              <w:rPr>
                <w:rFonts w:ascii="宋体" w:hAnsi="宋体" w:eastAsia="宋体" w:cs="宋体"/>
                <w:b/>
                <w:kern w:val="0"/>
                <w:sz w:val="28"/>
                <w:szCs w:val="28"/>
              </w:rPr>
            </w:pPr>
            <w:r>
              <w:rPr>
                <w:rFonts w:hint="eastAsia" w:ascii="宋体" w:hAnsi="宋体" w:eastAsia="宋体" w:cs="宋体"/>
                <w:sz w:val="24"/>
              </w:rPr>
              <w:t>数量</w:t>
            </w:r>
          </w:p>
        </w:tc>
        <w:tc>
          <w:tcPr>
            <w:tcW w:w="1045" w:type="dxa"/>
            <w:vAlign w:val="center"/>
          </w:tcPr>
          <w:p>
            <w:pPr>
              <w:tabs>
                <w:tab w:val="left" w:pos="900"/>
              </w:tabs>
              <w:jc w:val="center"/>
              <w:rPr>
                <w:rFonts w:ascii="宋体" w:hAnsi="宋体" w:eastAsia="宋体" w:cs="宋体"/>
                <w:b/>
                <w:kern w:val="0"/>
                <w:sz w:val="28"/>
                <w:szCs w:val="28"/>
              </w:rPr>
            </w:pPr>
            <w:r>
              <w:rPr>
                <w:rFonts w:hint="eastAsia" w:ascii="宋体" w:hAnsi="宋体" w:eastAsia="宋体" w:cs="宋体"/>
                <w:sz w:val="24"/>
              </w:rPr>
              <w:t>年限</w:t>
            </w:r>
          </w:p>
        </w:tc>
        <w:tc>
          <w:tcPr>
            <w:tcW w:w="1684" w:type="dxa"/>
            <w:vAlign w:val="center"/>
          </w:tcPr>
          <w:p>
            <w:pPr>
              <w:tabs>
                <w:tab w:val="left" w:pos="900"/>
              </w:tabs>
              <w:jc w:val="center"/>
              <w:rPr>
                <w:rFonts w:ascii="宋体" w:hAnsi="宋体" w:eastAsia="宋体" w:cs="宋体"/>
                <w:sz w:val="24"/>
              </w:rPr>
            </w:pPr>
            <w:r>
              <w:rPr>
                <w:rFonts w:hint="eastAsia" w:ascii="宋体" w:hAnsi="宋体" w:eastAsia="宋体" w:cs="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pPr>
              <w:jc w:val="center"/>
              <w:rPr>
                <w:rFonts w:ascii="宋体" w:hAnsi="宋体" w:eastAsia="宋体" w:cs="宋体"/>
                <w:b/>
                <w:kern w:val="0"/>
                <w:sz w:val="28"/>
                <w:szCs w:val="28"/>
              </w:rPr>
            </w:pPr>
            <w:r>
              <w:rPr>
                <w:rFonts w:hint="eastAsia" w:ascii="宋体" w:hAnsi="宋体" w:eastAsia="宋体" w:cs="宋体"/>
                <w:sz w:val="24"/>
              </w:rPr>
              <w:t>共享充电宝</w:t>
            </w:r>
          </w:p>
        </w:tc>
        <w:tc>
          <w:tcPr>
            <w:tcW w:w="3334" w:type="dxa"/>
          </w:tcPr>
          <w:p>
            <w:pPr>
              <w:ind w:firstLine="480" w:firstLineChars="200"/>
              <w:rPr>
                <w:rFonts w:ascii="宋体" w:hAnsi="宋体" w:eastAsia="宋体" w:cs="宋体"/>
                <w:bCs/>
                <w:kern w:val="0"/>
                <w:sz w:val="24"/>
              </w:rPr>
            </w:pPr>
            <w:r>
              <w:rPr>
                <w:rFonts w:hint="eastAsia" w:ascii="宋体" w:hAnsi="宋体" w:eastAsia="宋体" w:cs="宋体"/>
                <w:bCs/>
                <w:kern w:val="0"/>
                <w:sz w:val="24"/>
              </w:rPr>
              <w:t>1.基本功能：能适配市面所有常见USB设备进行充电，充电过程中不影响设备正常使用；</w:t>
            </w:r>
          </w:p>
          <w:p>
            <w:pPr>
              <w:ind w:firstLine="480" w:firstLineChars="200"/>
              <w:rPr>
                <w:rFonts w:ascii="宋体" w:hAnsi="宋体" w:eastAsia="宋体" w:cs="宋体"/>
                <w:bCs/>
                <w:kern w:val="0"/>
                <w:sz w:val="24"/>
              </w:rPr>
            </w:pPr>
            <w:r>
              <w:rPr>
                <w:rFonts w:hint="eastAsia" w:ascii="宋体" w:hAnsi="宋体" w:eastAsia="宋体" w:cs="宋体"/>
                <w:bCs/>
                <w:kern w:val="0"/>
                <w:sz w:val="24"/>
              </w:rPr>
              <w:t xml:space="preserve">2.免费提供数据线并同时满足三种USB接口（type-b、type-c及ios接口）    </w:t>
            </w:r>
          </w:p>
          <w:p>
            <w:pPr>
              <w:ind w:firstLine="480" w:firstLineChars="200"/>
              <w:rPr>
                <w:rFonts w:ascii="宋体" w:hAnsi="宋体" w:eastAsia="宋体" w:cs="宋体"/>
                <w:bCs/>
                <w:kern w:val="0"/>
                <w:sz w:val="24"/>
              </w:rPr>
            </w:pPr>
            <w:r>
              <w:rPr>
                <w:rFonts w:hint="eastAsia" w:ascii="宋体" w:hAnsi="宋体" w:eastAsia="宋体" w:cs="宋体"/>
                <w:bCs/>
                <w:kern w:val="0"/>
                <w:sz w:val="24"/>
              </w:rPr>
              <w:t>3.单个充电柜携带充电宝不低于6个；</w:t>
            </w:r>
          </w:p>
          <w:p>
            <w:pPr>
              <w:ind w:firstLine="480" w:firstLineChars="200"/>
              <w:rPr>
                <w:rFonts w:ascii="宋体" w:hAnsi="宋体" w:eastAsia="宋体" w:cs="宋体"/>
                <w:bCs/>
                <w:kern w:val="0"/>
                <w:sz w:val="24"/>
              </w:rPr>
            </w:pPr>
            <w:r>
              <w:rPr>
                <w:rFonts w:hint="eastAsia" w:ascii="宋体" w:hAnsi="宋体" w:eastAsia="宋体" w:cs="宋体"/>
                <w:bCs/>
                <w:kern w:val="0"/>
                <w:sz w:val="24"/>
              </w:rPr>
              <w:t>4.不需下载app，1元钱一小时：</w:t>
            </w:r>
          </w:p>
          <w:p>
            <w:pPr>
              <w:ind w:firstLine="480" w:firstLineChars="200"/>
              <w:rPr>
                <w:rFonts w:ascii="宋体" w:hAnsi="宋体" w:eastAsia="宋体" w:cs="宋体"/>
                <w:bCs/>
                <w:kern w:val="0"/>
                <w:sz w:val="24"/>
              </w:rPr>
            </w:pPr>
            <w:r>
              <w:rPr>
                <w:rFonts w:hint="eastAsia" w:ascii="宋体" w:hAnsi="宋体" w:eastAsia="宋体" w:cs="宋体"/>
                <w:bCs/>
                <w:kern w:val="0"/>
                <w:sz w:val="24"/>
              </w:rPr>
              <w:t>5.单个充电柜尺寸（长*宽*高）：长≤500mm、宽≤500mm、高≤500mm；</w:t>
            </w:r>
          </w:p>
          <w:p>
            <w:pPr>
              <w:ind w:firstLine="480" w:firstLineChars="200"/>
              <w:rPr>
                <w:rFonts w:ascii="宋体" w:hAnsi="宋体" w:eastAsia="宋体" w:cs="宋体"/>
                <w:bCs/>
                <w:kern w:val="0"/>
                <w:sz w:val="24"/>
              </w:rPr>
            </w:pPr>
            <w:r>
              <w:rPr>
                <w:rFonts w:hint="eastAsia" w:ascii="宋体" w:hAnsi="宋体" w:eastAsia="宋体" w:cs="宋体"/>
                <w:bCs/>
                <w:kern w:val="0"/>
                <w:sz w:val="24"/>
              </w:rPr>
              <w:t>6.单个充电柜功率：额定功率≤550W、待机功率≤50W。</w:t>
            </w:r>
          </w:p>
        </w:tc>
        <w:tc>
          <w:tcPr>
            <w:tcW w:w="1050" w:type="dxa"/>
            <w:vAlign w:val="center"/>
          </w:tcPr>
          <w:p>
            <w:pPr>
              <w:tabs>
                <w:tab w:val="left" w:pos="900"/>
              </w:tabs>
              <w:jc w:val="center"/>
              <w:rPr>
                <w:rFonts w:ascii="宋体" w:hAnsi="宋体" w:eastAsia="宋体" w:cs="宋体"/>
                <w:bCs/>
                <w:kern w:val="0"/>
                <w:sz w:val="24"/>
              </w:rPr>
            </w:pPr>
            <w:r>
              <w:rPr>
                <w:rFonts w:hint="eastAsia" w:ascii="宋体" w:hAnsi="宋体" w:eastAsia="宋体" w:cs="宋体"/>
                <w:bCs/>
                <w:kern w:val="0"/>
                <w:sz w:val="24"/>
              </w:rPr>
              <w:t>20台</w:t>
            </w:r>
            <w:r>
              <w:rPr>
                <w:rFonts w:hint="eastAsia" w:ascii="宋体" w:hAnsi="宋体" w:eastAsia="宋体" w:cs="宋体"/>
                <w:sz w:val="24"/>
              </w:rPr>
              <w:t>（后期可根据医院需求增加。）</w:t>
            </w:r>
          </w:p>
        </w:tc>
        <w:tc>
          <w:tcPr>
            <w:tcW w:w="1045" w:type="dxa"/>
            <w:vAlign w:val="center"/>
          </w:tcPr>
          <w:p>
            <w:pPr>
              <w:tabs>
                <w:tab w:val="left" w:pos="900"/>
              </w:tabs>
              <w:jc w:val="center"/>
              <w:rPr>
                <w:rFonts w:ascii="宋体" w:hAnsi="宋体" w:eastAsia="宋体" w:cs="宋体"/>
                <w:b/>
                <w:kern w:val="0"/>
                <w:sz w:val="28"/>
                <w:szCs w:val="28"/>
              </w:rPr>
            </w:pPr>
            <w:r>
              <w:rPr>
                <w:rFonts w:hint="eastAsia" w:ascii="宋体" w:hAnsi="宋体" w:eastAsia="宋体" w:cs="宋体"/>
                <w:sz w:val="24"/>
              </w:rPr>
              <w:t>2年</w:t>
            </w:r>
          </w:p>
        </w:tc>
        <w:tc>
          <w:tcPr>
            <w:tcW w:w="1684" w:type="dxa"/>
            <w:vAlign w:val="center"/>
          </w:tcPr>
          <w:p>
            <w:pPr>
              <w:tabs>
                <w:tab w:val="left" w:pos="900"/>
              </w:tabs>
              <w:jc w:val="left"/>
              <w:rPr>
                <w:rFonts w:ascii="宋体" w:hAnsi="宋体" w:eastAsia="宋体" w:cs="宋体"/>
                <w:sz w:val="24"/>
              </w:rPr>
            </w:pPr>
            <w:r>
              <w:rPr>
                <w:rFonts w:hint="eastAsia" w:ascii="宋体" w:hAnsi="宋体" w:eastAsia="宋体" w:cs="宋体"/>
                <w:sz w:val="24"/>
              </w:rPr>
              <w:t xml:space="preserve">    能提供不低于两种不同规格的充电柜，满足医院不同场景的使用。</w:t>
            </w:r>
          </w:p>
        </w:tc>
      </w:tr>
    </w:tbl>
    <w:p>
      <w:pPr>
        <w:numPr>
          <w:ilvl w:val="0"/>
          <w:numId w:val="2"/>
        </w:numPr>
        <w:tabs>
          <w:tab w:val="left" w:pos="900"/>
        </w:tabs>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安装期限</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中标后7天内签订合同，30天内安装至医院指定位置。</w:t>
      </w:r>
    </w:p>
    <w:p>
      <w:pPr>
        <w:numPr>
          <w:ilvl w:val="0"/>
          <w:numId w:val="2"/>
        </w:numPr>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费用</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验收合格后符合项目要求，按实际投入使用时间算起，中标人向医院预缴一个季度的电费、物业费、保洁费等管理费用，此后按季度预缴。</w:t>
      </w:r>
    </w:p>
    <w:p>
      <w:pPr>
        <w:widowControl/>
        <w:ind w:firstLine="562" w:firstLineChars="200"/>
        <w:jc w:val="left"/>
        <w:rPr>
          <w:rFonts w:ascii="宋体" w:hAnsi="宋体" w:eastAsia="宋体" w:cs="宋体"/>
          <w:b/>
          <w:kern w:val="0"/>
          <w:sz w:val="28"/>
          <w:szCs w:val="28"/>
        </w:rPr>
      </w:pPr>
      <w:r>
        <w:rPr>
          <w:rFonts w:hint="eastAsia" w:ascii="宋体" w:hAnsi="宋体" w:eastAsia="宋体" w:cs="宋体"/>
          <w:b/>
          <w:kern w:val="0"/>
          <w:sz w:val="28"/>
          <w:szCs w:val="28"/>
        </w:rPr>
        <w:t>七、标书内容（加盖公章）</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1、投标产品的品牌型号、功能特征、技术参数、服务承诺、收费标准、报价表(拟缴纳的管理费，管理费包括电费、物业费、保洁费等)。</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2、公司营业执照及有关资质证明材料等。企业法人营业执照复印件、税务登记证复印件、法人代表身份证复印件、被授权人身份证复印件及授权书等。</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3、供货商详细地址及电话。</w:t>
      </w:r>
    </w:p>
    <w:p>
      <w:pPr>
        <w:tabs>
          <w:tab w:val="left" w:pos="900"/>
        </w:tabs>
        <w:ind w:firstLine="560" w:firstLineChars="200"/>
        <w:rPr>
          <w:rFonts w:ascii="宋体" w:hAnsi="宋体" w:eastAsia="宋体" w:cs="宋体"/>
          <w:kern w:val="0"/>
          <w:sz w:val="28"/>
          <w:szCs w:val="28"/>
        </w:rPr>
      </w:pPr>
      <w:r>
        <w:rPr>
          <w:rFonts w:hint="eastAsia" w:ascii="宋体" w:hAnsi="宋体" w:eastAsia="宋体" w:cs="宋体"/>
          <w:sz w:val="28"/>
          <w:szCs w:val="28"/>
        </w:rPr>
        <w:t>4、投标书（包括相关资料）落款处应加盖投标单位印章和法人代表签字（或盖章）。</w:t>
      </w:r>
      <w:r>
        <w:rPr>
          <w:rFonts w:hint="eastAsia" w:ascii="宋体" w:hAnsi="宋体" w:eastAsia="宋体" w:cs="宋体"/>
          <w:kern w:val="0"/>
          <w:sz w:val="28"/>
          <w:szCs w:val="28"/>
        </w:rPr>
        <w:t>投标书一式两份（一正一副），必须胶装成册,不接受散页、活页或未胶装成册的投标文件,并装袋密封，封口应加盖投标单位印章，否则作废标处理。</w:t>
      </w:r>
    </w:p>
    <w:p>
      <w:pPr>
        <w:widowControl/>
        <w:ind w:firstLine="562" w:firstLineChars="200"/>
        <w:jc w:val="left"/>
        <w:rPr>
          <w:rFonts w:ascii="宋体" w:hAnsi="宋体" w:eastAsia="宋体" w:cs="宋体"/>
          <w:b/>
          <w:kern w:val="0"/>
          <w:sz w:val="28"/>
          <w:szCs w:val="28"/>
        </w:rPr>
      </w:pPr>
      <w:r>
        <w:rPr>
          <w:rFonts w:hint="eastAsia" w:ascii="宋体" w:hAnsi="宋体" w:eastAsia="宋体" w:cs="宋体"/>
          <w:b/>
          <w:kern w:val="0"/>
          <w:sz w:val="28"/>
          <w:szCs w:val="28"/>
        </w:rPr>
        <w:t>八、评标办法</w:t>
      </w:r>
    </w:p>
    <w:p>
      <w:pPr>
        <w:tabs>
          <w:tab w:val="left" w:pos="900"/>
        </w:tabs>
        <w:ind w:firstLine="560" w:firstLineChars="200"/>
        <w:rPr>
          <w:rFonts w:ascii="宋体" w:hAnsi="宋体" w:eastAsia="宋体" w:cs="宋体"/>
          <w:sz w:val="28"/>
          <w:szCs w:val="28"/>
        </w:rPr>
      </w:pPr>
      <w:r>
        <w:rPr>
          <w:rFonts w:hint="eastAsia" w:ascii="宋体" w:hAnsi="宋体" w:eastAsia="宋体" w:cs="宋体"/>
          <w:sz w:val="28"/>
          <w:szCs w:val="28"/>
        </w:rPr>
        <w:t>缴纳最高管理费的商家为中标商。管理费≧30元/个/月，管理费低于30元/个/月为无效标。响应投标单位可以提交二次报价，二次报价不得低于一次报价，有效标内报价最高者为第一中标候选人。</w:t>
      </w:r>
    </w:p>
    <w:p>
      <w:pPr>
        <w:widowControl/>
        <w:ind w:firstLine="560" w:firstLineChars="200"/>
        <w:jc w:val="left"/>
        <w:rPr>
          <w:rFonts w:ascii="宋体" w:hAnsi="宋体" w:eastAsia="宋体" w:cs="宋体"/>
          <w:bCs/>
          <w:kern w:val="0"/>
          <w:sz w:val="28"/>
          <w:szCs w:val="28"/>
        </w:rPr>
      </w:pPr>
      <w:r>
        <w:rPr>
          <w:rFonts w:hint="eastAsia" w:ascii="宋体" w:hAnsi="宋体" w:eastAsia="宋体" w:cs="宋体"/>
          <w:bCs/>
          <w:kern w:val="0"/>
          <w:sz w:val="28"/>
          <w:szCs w:val="28"/>
        </w:rPr>
        <w:t>九、其他说明</w:t>
      </w:r>
    </w:p>
    <w:p>
      <w:pPr>
        <w:tabs>
          <w:tab w:val="left" w:pos="900"/>
        </w:tabs>
        <w:ind w:firstLine="560" w:firstLineChars="200"/>
        <w:jc w:val="left"/>
        <w:rPr>
          <w:rFonts w:ascii="宋体" w:hAnsi="宋体" w:eastAsia="宋体" w:cs="宋体"/>
          <w:sz w:val="28"/>
          <w:szCs w:val="28"/>
        </w:rPr>
      </w:pPr>
      <w:r>
        <w:rPr>
          <w:rFonts w:hint="eastAsia" w:ascii="宋体" w:hAnsi="宋体" w:eastAsia="宋体" w:cs="宋体"/>
          <w:bCs/>
          <w:sz w:val="28"/>
          <w:szCs w:val="28"/>
        </w:rPr>
        <w:t>1、投标保证金1800元，一次性足额缴纳，由投标单位的基本账户全额转入医院的指定帐户（单位名称:赣州市妇幼保健院；账号:2830000103100001048；开户银行:赣州银行青年支行），并于开标当天上午8点（北京时间）前到账，否则响应无效。开标时递交缴纳投标保证金银行回单复印件或打印的电子回单。如中标</w:t>
      </w:r>
      <w:r>
        <w:rPr>
          <w:rFonts w:hint="eastAsia" w:ascii="宋体" w:hAnsi="宋体" w:eastAsia="宋体" w:cs="宋体"/>
          <w:sz w:val="28"/>
          <w:szCs w:val="28"/>
        </w:rPr>
        <w:t>则转为履约保证金，本项目履约保证金为1800元，项目终止之日起十五个工作日内予以不计息退还；如未中标，在中标通知书发出后5个工作日内不计息退还。</w:t>
      </w:r>
    </w:p>
    <w:p>
      <w:pPr>
        <w:tabs>
          <w:tab w:val="left" w:pos="900"/>
        </w:tabs>
        <w:ind w:firstLine="560" w:firstLineChars="200"/>
        <w:jc w:val="left"/>
        <w:rPr>
          <w:rFonts w:ascii="宋体" w:hAnsi="宋体" w:eastAsia="宋体" w:cs="宋体"/>
          <w:sz w:val="28"/>
          <w:szCs w:val="28"/>
        </w:rPr>
      </w:pPr>
      <w:r>
        <w:rPr>
          <w:rFonts w:hint="eastAsia" w:ascii="宋体" w:hAnsi="宋体" w:eastAsia="宋体" w:cs="宋体"/>
          <w:sz w:val="28"/>
          <w:szCs w:val="28"/>
        </w:rPr>
        <w:t>2、中标单位在接中标通知后三个工作日内到客户服务中心签订合同。</w:t>
      </w:r>
    </w:p>
    <w:p>
      <w:pPr>
        <w:ind w:firstLine="560" w:firstLineChars="200"/>
        <w:rPr>
          <w:rFonts w:ascii="宋体" w:hAnsi="宋体" w:eastAsia="宋体" w:cs="宋体"/>
          <w:sz w:val="28"/>
          <w:szCs w:val="28"/>
        </w:rPr>
      </w:pPr>
      <w:r>
        <w:rPr>
          <w:rFonts w:hint="eastAsia" w:ascii="宋体" w:hAnsi="宋体" w:eastAsia="宋体" w:cs="宋体"/>
          <w:sz w:val="28"/>
          <w:szCs w:val="28"/>
        </w:rPr>
        <w:t>3、中标单位中标后不得转标，否则，取消中标资格。</w:t>
      </w:r>
    </w:p>
    <w:p>
      <w:pPr>
        <w:ind w:firstLine="560" w:firstLineChars="200"/>
        <w:rPr>
          <w:rFonts w:ascii="宋体" w:hAnsi="宋体" w:eastAsia="宋体" w:cs="宋体"/>
          <w:sz w:val="28"/>
          <w:szCs w:val="28"/>
          <w:u w:val="single"/>
        </w:rPr>
      </w:pPr>
      <w:r>
        <w:rPr>
          <w:rFonts w:hint="eastAsia" w:ascii="宋体" w:hAnsi="宋体" w:eastAsia="宋体" w:cs="宋体"/>
          <w:sz w:val="28"/>
          <w:szCs w:val="28"/>
        </w:rPr>
        <w:t>4、开标时间：</w:t>
      </w:r>
      <w:r>
        <w:rPr>
          <w:rFonts w:hint="eastAsia" w:ascii="宋体" w:hAnsi="宋体" w:eastAsia="宋体" w:cs="宋体"/>
          <w:sz w:val="28"/>
          <w:szCs w:val="28"/>
          <w:u w:val="single"/>
        </w:rPr>
        <w:t>2020</w:t>
      </w:r>
      <w:r>
        <w:rPr>
          <w:rFonts w:hint="eastAsia" w:ascii="宋体" w:hAnsi="宋体" w:eastAsia="宋体" w:cs="宋体"/>
          <w:sz w:val="28"/>
          <w:szCs w:val="28"/>
        </w:rPr>
        <w:t>年</w:t>
      </w:r>
      <w:r>
        <w:rPr>
          <w:rFonts w:hint="eastAsia" w:ascii="宋体" w:hAnsi="宋体" w:eastAsia="宋体" w:cs="宋体"/>
          <w:sz w:val="28"/>
          <w:szCs w:val="28"/>
          <w:u w:val="single"/>
        </w:rPr>
        <w:t>5</w:t>
      </w:r>
      <w:r>
        <w:rPr>
          <w:rFonts w:hint="eastAsia" w:ascii="宋体" w:hAnsi="宋体" w:eastAsia="宋体" w:cs="宋体"/>
          <w:sz w:val="28"/>
          <w:szCs w:val="28"/>
        </w:rPr>
        <w:t>月</w:t>
      </w:r>
      <w:r>
        <w:rPr>
          <w:rFonts w:hint="eastAsia" w:ascii="宋体" w:hAnsi="宋体" w:eastAsia="宋体" w:cs="宋体"/>
          <w:sz w:val="28"/>
          <w:szCs w:val="28"/>
          <w:u w:val="single"/>
        </w:rPr>
        <w:t>6</w:t>
      </w:r>
      <w:r>
        <w:rPr>
          <w:rFonts w:hint="eastAsia" w:ascii="宋体" w:hAnsi="宋体" w:eastAsia="宋体" w:cs="宋体"/>
          <w:sz w:val="28"/>
          <w:szCs w:val="28"/>
        </w:rPr>
        <w:t>日下午</w:t>
      </w:r>
      <w:r>
        <w:rPr>
          <w:rFonts w:hint="eastAsia" w:ascii="宋体" w:hAnsi="宋体" w:eastAsia="宋体" w:cs="宋体"/>
          <w:sz w:val="28"/>
          <w:szCs w:val="28"/>
          <w:u w:val="single"/>
        </w:rPr>
        <w:t>15：30</w:t>
      </w:r>
    </w:p>
    <w:p>
      <w:pPr>
        <w:spacing w:line="360" w:lineRule="auto"/>
        <w:ind w:left="284" w:firstLine="280" w:firstLineChars="100"/>
        <w:rPr>
          <w:rFonts w:ascii="宋体" w:hAnsi="宋体" w:eastAsia="宋体" w:cs="宋体"/>
          <w:sz w:val="28"/>
          <w:szCs w:val="28"/>
        </w:rPr>
      </w:pPr>
      <w:r>
        <w:rPr>
          <w:rFonts w:hint="eastAsia" w:ascii="宋体" w:hAnsi="宋体" w:eastAsia="宋体" w:cs="宋体"/>
          <w:sz w:val="28"/>
          <w:szCs w:val="28"/>
        </w:rPr>
        <w:t>5、开标地点：赣州市妇幼保健院行政楼611会议室</w:t>
      </w:r>
    </w:p>
    <w:p>
      <w:pPr>
        <w:ind w:firstLine="560" w:firstLineChars="200"/>
        <w:rPr>
          <w:rFonts w:ascii="宋体" w:hAnsi="宋体" w:eastAsia="宋体" w:cs="宋体"/>
          <w:sz w:val="28"/>
          <w:szCs w:val="28"/>
        </w:rPr>
      </w:pPr>
    </w:p>
    <w:p>
      <w:pPr>
        <w:ind w:left="570"/>
        <w:jc w:val="center"/>
        <w:rPr>
          <w:rFonts w:ascii="宋体" w:hAnsi="宋体" w:eastAsia="宋体" w:cs="宋体"/>
          <w:sz w:val="28"/>
          <w:szCs w:val="28"/>
        </w:rPr>
      </w:pPr>
      <w:r>
        <w:rPr>
          <w:rFonts w:hint="eastAsia" w:ascii="宋体" w:hAnsi="宋体" w:eastAsia="宋体" w:cs="宋体"/>
          <w:sz w:val="28"/>
          <w:szCs w:val="28"/>
        </w:rPr>
        <w:t xml:space="preserve">                             赣州市妇幼保健院</w:t>
      </w:r>
    </w:p>
    <w:p>
      <w:pPr>
        <w:ind w:left="570"/>
        <w:jc w:val="center"/>
        <w:rPr>
          <w:rFonts w:ascii="宋体" w:hAnsi="宋体" w:eastAsia="宋体" w:cs="宋体"/>
          <w:sz w:val="28"/>
          <w:szCs w:val="28"/>
        </w:rPr>
      </w:pPr>
      <w:r>
        <w:rPr>
          <w:rFonts w:hint="eastAsia" w:ascii="宋体" w:hAnsi="宋体" w:eastAsia="宋体" w:cs="宋体"/>
          <w:sz w:val="28"/>
          <w:szCs w:val="28"/>
        </w:rPr>
        <w:t xml:space="preserve">                            2020年4月20日</w:t>
      </w:r>
    </w:p>
    <w:p>
      <w:pPr>
        <w:ind w:firstLine="560" w:firstLineChars="200"/>
        <w:rPr>
          <w:rFonts w:ascii="宋体" w:hAnsi="宋体" w:eastAsia="宋体" w:cs="宋体"/>
          <w:sz w:val="28"/>
          <w:szCs w:val="28"/>
        </w:rPr>
      </w:pPr>
    </w:p>
    <w:p>
      <w:pPr>
        <w:widowControl/>
        <w:ind w:firstLine="562" w:firstLineChars="200"/>
        <w:jc w:val="left"/>
        <w:rPr>
          <w:rFonts w:ascii="宋体" w:hAnsi="宋体" w:eastAsia="宋体" w:cs="宋体"/>
          <w:b/>
          <w:bCs/>
          <w:kern w:val="0"/>
          <w:sz w:val="28"/>
          <w:szCs w:val="28"/>
        </w:rPr>
      </w:pPr>
    </w:p>
    <w:p>
      <w:pPr>
        <w:ind w:firstLine="560" w:firstLineChars="200"/>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EA10"/>
    <w:multiLevelType w:val="singleLevel"/>
    <w:tmpl w:val="011DEA10"/>
    <w:lvl w:ilvl="0" w:tentative="0">
      <w:start w:val="4"/>
      <w:numFmt w:val="chineseCounting"/>
      <w:suff w:val="nothing"/>
      <w:lvlText w:val="%1、"/>
      <w:lvlJc w:val="left"/>
      <w:rPr>
        <w:rFonts w:hint="eastAsia"/>
      </w:rPr>
    </w:lvl>
  </w:abstractNum>
  <w:abstractNum w:abstractNumId="1">
    <w:nsid w:val="5A21100C"/>
    <w:multiLevelType w:val="singleLevel"/>
    <w:tmpl w:val="5A21100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75853"/>
    <w:rsid w:val="00116B61"/>
    <w:rsid w:val="00383828"/>
    <w:rsid w:val="00475C6E"/>
    <w:rsid w:val="006667B4"/>
    <w:rsid w:val="006A7863"/>
    <w:rsid w:val="00722A3D"/>
    <w:rsid w:val="007C4C9F"/>
    <w:rsid w:val="00A37FF2"/>
    <w:rsid w:val="00BB6D13"/>
    <w:rsid w:val="00D672A9"/>
    <w:rsid w:val="00DC29DA"/>
    <w:rsid w:val="00DE0337"/>
    <w:rsid w:val="00E43ECE"/>
    <w:rsid w:val="00E53779"/>
    <w:rsid w:val="00F94DBB"/>
    <w:rsid w:val="022225ED"/>
    <w:rsid w:val="036C3D1C"/>
    <w:rsid w:val="06315EC6"/>
    <w:rsid w:val="082F7EFC"/>
    <w:rsid w:val="0A0F6261"/>
    <w:rsid w:val="0A2D5AB9"/>
    <w:rsid w:val="0A945A17"/>
    <w:rsid w:val="0C4815D4"/>
    <w:rsid w:val="0E9304A6"/>
    <w:rsid w:val="0F0D49BD"/>
    <w:rsid w:val="104C5B85"/>
    <w:rsid w:val="10C26050"/>
    <w:rsid w:val="123E4083"/>
    <w:rsid w:val="13730BA3"/>
    <w:rsid w:val="14F91F0F"/>
    <w:rsid w:val="19732BFC"/>
    <w:rsid w:val="1AAD443F"/>
    <w:rsid w:val="1C3F21A9"/>
    <w:rsid w:val="1E1D0690"/>
    <w:rsid w:val="1F0F6C14"/>
    <w:rsid w:val="1FB844FA"/>
    <w:rsid w:val="210B5040"/>
    <w:rsid w:val="212039A1"/>
    <w:rsid w:val="21674C9E"/>
    <w:rsid w:val="2A1078AF"/>
    <w:rsid w:val="2AE07D32"/>
    <w:rsid w:val="2E2B7DE3"/>
    <w:rsid w:val="2FBF604C"/>
    <w:rsid w:val="308667E0"/>
    <w:rsid w:val="325E1EE1"/>
    <w:rsid w:val="33D8416B"/>
    <w:rsid w:val="345D4A0E"/>
    <w:rsid w:val="35872191"/>
    <w:rsid w:val="36FF48B2"/>
    <w:rsid w:val="37B944B3"/>
    <w:rsid w:val="3B275853"/>
    <w:rsid w:val="3B5C24EB"/>
    <w:rsid w:val="3BC1403C"/>
    <w:rsid w:val="3D900316"/>
    <w:rsid w:val="3E8F06F0"/>
    <w:rsid w:val="41900DCE"/>
    <w:rsid w:val="43AF72B2"/>
    <w:rsid w:val="43E66910"/>
    <w:rsid w:val="4430334F"/>
    <w:rsid w:val="45147644"/>
    <w:rsid w:val="45587BBC"/>
    <w:rsid w:val="471A2555"/>
    <w:rsid w:val="4FB40752"/>
    <w:rsid w:val="53BF7B93"/>
    <w:rsid w:val="56A34A82"/>
    <w:rsid w:val="59DF7735"/>
    <w:rsid w:val="59F468D7"/>
    <w:rsid w:val="5D696801"/>
    <w:rsid w:val="5F9532C7"/>
    <w:rsid w:val="606D4DC6"/>
    <w:rsid w:val="64500DAD"/>
    <w:rsid w:val="66002CDE"/>
    <w:rsid w:val="685A5A98"/>
    <w:rsid w:val="68ED65CA"/>
    <w:rsid w:val="692652B3"/>
    <w:rsid w:val="6D535020"/>
    <w:rsid w:val="708354B5"/>
    <w:rsid w:val="74994A2C"/>
    <w:rsid w:val="75692609"/>
    <w:rsid w:val="766F204A"/>
    <w:rsid w:val="7CB42D66"/>
    <w:rsid w:val="7EA04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ITSK.com</Company>
  <Pages>4</Pages>
  <Words>214</Words>
  <Characters>1226</Characters>
  <Lines>10</Lines>
  <Paragraphs>2</Paragraphs>
  <TotalTime>65</TotalTime>
  <ScaleCrop>false</ScaleCrop>
  <LinksUpToDate>false</LinksUpToDate>
  <CharactersWithSpaces>1438</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2020-04-17T02:55:00Z</dcterms:created>
  <dc:creator>刘思韬</dc:creator>
  <cp:lastModifiedBy>lulan</cp:lastModifiedBy>
  <dcterms:modified xsi:type="dcterms:W3CDTF">2020-04-20T09:05:21Z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